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第7章-投保试算-理财类（实战-阅读源码）</w:t>
      </w:r>
    </w:p>
    <w:p>
      <w:pPr>
        <w:pStyle w:val="1"/>
        <w:spacing w:before="380" w:after="140" w:line="288" w:lineRule="auto"/>
        <w:ind w:left="0"/>
        <w:jc w:val="left"/>
        <w:outlineLvl w:val="0"/>
      </w:pPr>
      <w:bookmarkStart w:name="heading_0" w:id="0"/>
      <w:r>
        <w:rPr>
          <w:rFonts w:eastAsia="等线" w:ascii="Arial" w:cs="Arial" w:hAnsi="Arial"/>
          <w:b w:val="true"/>
          <w:sz w:val="36"/>
        </w:rPr>
        <w:t>学习目标</w:t>
      </w:r>
      <w:bookmarkEnd w:id="0"/>
    </w:p>
    <w:p>
      <w:pPr>
        <w:numPr>
          <w:numId w:val="1"/>
        </w:numPr>
        <w:spacing w:before="120" w:after="120" w:line="288" w:lineRule="auto"/>
        <w:ind w:left="0"/>
        <w:jc w:val="left"/>
      </w:pPr>
      <w:r>
        <w:rPr>
          <w:rFonts w:eastAsia="等线" w:ascii="Arial" w:cs="Arial" w:hAnsi="Arial"/>
          <w:color w:val="d83931"/>
          <w:sz w:val="22"/>
        </w:rPr>
        <w:t>开发并能阐述理财试算的整个业务处理流程</w:t>
      </w:r>
    </w:p>
    <w:p>
      <w:pPr>
        <w:numPr>
          <w:numId w:val="2"/>
        </w:numPr>
        <w:spacing w:before="120" w:after="120" w:line="288" w:lineRule="auto"/>
        <w:ind w:left="0"/>
        <w:jc w:val="left"/>
      </w:pPr>
      <w:r>
        <w:rPr>
          <w:rFonts w:eastAsia="等线" w:ascii="Arial" w:cs="Arial" w:hAnsi="Arial"/>
          <w:color w:val="d83931"/>
          <w:sz w:val="22"/>
        </w:rPr>
        <w:t>使用策略模式和门面模式完成收益试算的处理</w:t>
      </w: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b w:val="true"/>
          <w:sz w:val="36"/>
        </w:rPr>
        <w:t>1、收益试算分析</w:t>
      </w:r>
      <w:bookmarkEnd w:id="1"/>
    </w:p>
    <w:p>
      <w:pPr>
        <w:pStyle w:val="2"/>
        <w:spacing w:before="320" w:after="120" w:line="288" w:lineRule="auto"/>
        <w:ind w:left="0"/>
        <w:jc w:val="left"/>
        <w:outlineLvl w:val="1"/>
      </w:pPr>
      <w:bookmarkStart w:name="heading_2" w:id="2"/>
      <w:r>
        <w:rPr>
          <w:rFonts w:eastAsia="等线" w:ascii="Arial" w:cs="Arial" w:hAnsi="Arial"/>
          <w:b w:val="true"/>
          <w:sz w:val="32"/>
        </w:rPr>
        <w:t>1.1、需求分析</w:t>
      </w:r>
      <w:bookmarkEnd w:id="2"/>
    </w:p>
    <w:p>
      <w:pPr>
        <w:spacing w:before="120" w:after="120" w:line="288" w:lineRule="auto"/>
        <w:ind w:left="0"/>
        <w:jc w:val="left"/>
      </w:pPr>
      <w:r>
        <w:rPr>
          <w:rFonts w:eastAsia="等线" w:ascii="Arial" w:cs="Arial" w:hAnsi="Arial"/>
          <w:sz w:val="22"/>
        </w:rPr>
        <w:t>收益试算主要是依据用户的投入及领取方式然后整体计算投入及收益情况，</w:t>
      </w:r>
      <w:r>
        <w:rPr>
          <w:rFonts w:eastAsia="等线" w:ascii="Arial" w:cs="Arial" w:hAnsi="Arial"/>
          <w:color w:val="d83931"/>
          <w:sz w:val="22"/>
        </w:rPr>
        <w:t>主体需求就是：通过产品投入及方案给付计划来计算整体投入及未来收益情况，</w:t>
      </w:r>
      <w:r>
        <w:rPr>
          <w:rFonts w:eastAsia="等线" w:ascii="Arial" w:cs="Arial" w:hAnsi="Arial"/>
          <w:sz w:val="22"/>
        </w:rPr>
        <w:t>来我们看下功能效果图：</w:t>
      </w:r>
    </w:p>
    <w:p>
      <w:pPr>
        <w:spacing w:before="120" w:after="120" w:line="288" w:lineRule="auto"/>
        <w:ind w:left="0"/>
        <w:jc w:val="center"/>
      </w:pPr>
      <w:r>
        <w:drawing>
          <wp:inline distT="0" distR="0" distB="0" distL="0">
            <wp:extent cx="5257800" cy="25050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505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从上图分析发现：同一个理财保险选择不同的投入方式，获得的最终收益不同，而</w:t>
      </w:r>
      <w:r>
        <w:rPr>
          <w:rFonts w:eastAsia="等线" w:ascii="Arial" w:cs="Arial" w:hAnsi="Arial"/>
          <w:color w:val="d83931"/>
          <w:sz w:val="22"/>
        </w:rPr>
        <w:t>理财收益比例是根据在发布理财保险时制定的方案给付计划是有关联的</w:t>
      </w:r>
    </w:p>
    <w:p>
      <w:pPr>
        <w:spacing w:before="120" w:after="120" w:line="288" w:lineRule="auto"/>
        <w:ind w:left="0"/>
        <w:jc w:val="center"/>
      </w:pPr>
      <w:r>
        <w:drawing>
          <wp:inline distT="0" distR="0" distB="0" distL="0">
            <wp:extent cx="5257800" cy="27527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752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除此之外系数也会影响整个的计算结果，例如：领取的时间越晚收益越高，投入时间越长收益也越高，还有其他的系数都会影响最终的收益金额，这些要看具体的设置情况</w:t>
      </w:r>
    </w:p>
    <w:p>
      <w:pPr>
        <w:spacing w:before="120" w:after="120" w:line="288" w:lineRule="auto"/>
        <w:ind w:left="0"/>
        <w:jc w:val="center"/>
      </w:pPr>
      <w:r>
        <w:drawing>
          <wp:inline distT="0" distR="0" distB="0" distL="0">
            <wp:extent cx="5257800" cy="26860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686050"/>
                    </a:xfrm>
                    <a:prstGeom prst="rect">
                      <a:avLst/>
                    </a:prstGeom>
                  </pic:spPr>
                </pic:pic>
              </a:graphicData>
            </a:graphic>
          </wp:inline>
        </w:drawing>
      </w:r>
    </w:p>
    <w:p>
      <w:pPr>
        <w:pStyle w:val="2"/>
        <w:spacing w:before="320" w:after="120" w:line="288" w:lineRule="auto"/>
        <w:ind w:left="0"/>
        <w:jc w:val="left"/>
        <w:outlineLvl w:val="1"/>
      </w:pPr>
      <w:bookmarkStart w:name="heading_3" w:id="3"/>
      <w:r>
        <w:rPr>
          <w:rFonts w:eastAsia="等线" w:ascii="Arial" w:cs="Arial" w:hAnsi="Arial"/>
          <w:b w:val="true"/>
          <w:sz w:val="32"/>
        </w:rPr>
        <w:t>1.2、接口分析</w:t>
      </w:r>
      <w:bookmarkEnd w:id="3"/>
    </w:p>
    <w:p>
      <w:pPr>
        <w:spacing w:before="120" w:after="120" w:line="288" w:lineRule="auto"/>
        <w:ind w:left="0"/>
        <w:jc w:val="left"/>
      </w:pPr>
      <w:r>
        <w:rPr>
          <w:rFonts w:eastAsia="等线" w:ascii="Arial" w:cs="Arial" w:hAnsi="Arial"/>
          <w:sz w:val="22"/>
        </w:rPr>
        <w:t>在app端产品详情页面中，选择了不同的系数之后会发起收益的计算；如图：</w:t>
      </w:r>
    </w:p>
    <w:p>
      <w:pPr>
        <w:spacing w:before="120" w:after="120" w:line="288" w:lineRule="auto"/>
        <w:ind w:left="0"/>
        <w:jc w:val="center"/>
      </w:pPr>
      <w:r>
        <w:drawing>
          <wp:inline distT="0" distR="0" distB="0" distL="0">
            <wp:extent cx="5257800" cy="30099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Swagger接口地址：</w:t>
      </w:r>
      <w:r>
        <w:rPr>
          <w:rFonts w:eastAsia="等线" w:ascii="Arial" w:cs="Arial" w:hAnsi="Arial"/>
          <w:sz w:val="22"/>
        </w:rPr>
        <w:t>http://localhost:7065/doc.html#/default/%E4%BF%9D%E9%99%A9%E6%8A%95%E4%BF%9D/doEarningsUsingPOST</w:t>
      </w:r>
    </w:p>
    <w:p>
      <w:pPr>
        <w:spacing w:before="120" w:after="120" w:line="288" w:lineRule="auto"/>
        <w:ind w:left="0"/>
        <w:jc w:val="left"/>
      </w:pPr>
      <w:r>
        <w:rPr>
          <w:rFonts w:eastAsia="等线" w:ascii="Arial" w:cs="Arial" w:hAnsi="Arial"/>
          <w:sz w:val="22"/>
        </w:rPr>
        <w:t>建议：从浏览器中跟踪接口信息如下：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005"/>
        <w:gridCol w:w="7275"/>
      </w:tblGrid>
      <w:tr>
        <w:tc>
          <w:tcPr>
            <w:tcW w:w="10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接口描述</w:t>
            </w:r>
          </w:p>
        </w:tc>
        <w:tc>
          <w:tcPr>
            <w:tcW w:w="72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说明</w:t>
            </w:r>
          </w:p>
        </w:tc>
      </w:tr>
      <w:tr>
        <w:tc>
          <w:tcPr>
            <w:tcW w:w="10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请求地址</w:t>
            </w:r>
          </w:p>
        </w:tc>
        <w:tc>
          <w:tcPr>
            <w:tcW w:w="72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http://sf.app.itheima.net/api/insurance-app/insure/do-earnings</w:t>
            </w:r>
          </w:p>
        </w:tc>
      </w:tr>
      <w:tr>
        <w:tc>
          <w:tcPr>
            <w:tcW w:w="10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请求方式</w:t>
            </w:r>
          </w:p>
        </w:tc>
        <w:tc>
          <w:tcPr>
            <w:tcW w:w="72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POST</w:t>
            </w:r>
          </w:p>
        </w:tc>
      </w:tr>
      <w:tr>
        <w:tc>
          <w:tcPr>
            <w:tcW w:w="10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请求参数</w:t>
            </w:r>
          </w:p>
        </w:tc>
        <w:tc>
          <w:tcPr>
            <w:tcW w:w="72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"checkRule": "1",  # 路由key；</w:t>
            </w:r>
            <w:r>
              <w:rPr>
                <w:rFonts w:eastAsia="等线" w:ascii="Arial" w:cs="Arial" w:hAnsi="Arial"/>
                <w:i w:val="true"/>
                <w:sz w:val="22"/>
              </w:rPr>
              <w:t>0医疗 1重疾 2意外 3养老 4储蓄 5旅游</w:t>
            </w:r>
          </w:p>
          <w:p>
            <w:pPr>
              <w:spacing w:before="120" w:after="120" w:line="288" w:lineRule="auto"/>
              <w:ind w:left="0"/>
              <w:jc w:val="left"/>
            </w:pPr>
            <w:r>
              <w:rPr>
                <w:rFonts w:eastAsia="等线" w:ascii="Arial" w:cs="Arial" w:hAnsi="Arial"/>
                <w:sz w:val="22"/>
              </w:rPr>
              <w:t xml:space="preserve">  "companyNo": "100000001", # 企业编号</w:t>
            </w:r>
          </w:p>
          <w:p>
            <w:pPr>
              <w:spacing w:before="120" w:after="120" w:line="288" w:lineRule="auto"/>
              <w:ind w:left="0"/>
              <w:jc w:val="left"/>
            </w:pPr>
            <w:r>
              <w:rPr>
                <w:rFonts w:eastAsia="等线" w:ascii="Arial" w:cs="Arial" w:hAnsi="Arial"/>
                <w:sz w:val="22"/>
              </w:rPr>
              <w:t xml:space="preserve">  "insuranceId": "1722449243278430209", #  保险产品id</w:t>
            </w:r>
          </w:p>
          <w:p>
            <w:pPr>
              <w:spacing w:before="120" w:after="120" w:line="288" w:lineRule="auto"/>
              <w:ind w:left="0"/>
              <w:jc w:val="left"/>
            </w:pPr>
            <w:r>
              <w:rPr>
                <w:rFonts w:eastAsia="等线" w:ascii="Arial" w:cs="Arial" w:hAnsi="Arial"/>
                <w:sz w:val="22"/>
              </w:rPr>
              <w:t xml:space="preserve">  "price": 100, # 投入金额</w:t>
            </w:r>
          </w:p>
          <w:p>
            <w:pPr>
              <w:spacing w:before="120" w:after="120" w:line="288" w:lineRule="auto"/>
              <w:ind w:left="0"/>
              <w:jc w:val="left"/>
            </w:pPr>
            <w:r>
              <w:rPr>
                <w:rFonts w:eastAsia="等线" w:ascii="Arial" w:cs="Arial" w:hAnsi="Arial"/>
                <w:sz w:val="22"/>
              </w:rPr>
              <w:t xml:space="preserve">  "insuranceCoefficentIds": [ # 保险系数项id集合</w:t>
            </w:r>
          </w:p>
          <w:p>
            <w:pPr>
              <w:spacing w:before="120" w:after="120" w:line="288" w:lineRule="auto"/>
              <w:ind w:left="0"/>
              <w:jc w:val="left"/>
            </w:pPr>
            <w:r>
              <w:rPr>
                <w:rFonts w:eastAsia="等线" w:ascii="Arial" w:cs="Arial" w:hAnsi="Arial"/>
                <w:sz w:val="22"/>
              </w:rPr>
              <w:t xml:space="preserve">    "1726792497633431553",</w:t>
            </w:r>
          </w:p>
          <w:p>
            <w:pPr>
              <w:spacing w:before="120" w:after="120" w:line="288" w:lineRule="auto"/>
              <w:ind w:left="0"/>
              <w:jc w:val="left"/>
            </w:pPr>
            <w:r>
              <w:rPr>
                <w:rFonts w:eastAsia="等线" w:ascii="Arial" w:cs="Arial" w:hAnsi="Arial"/>
                <w:sz w:val="22"/>
              </w:rPr>
              <w:t xml:space="preserve">    "1726792497666985985",</w:t>
            </w:r>
          </w:p>
          <w:p>
            <w:pPr>
              <w:spacing w:before="120" w:after="120" w:line="288" w:lineRule="auto"/>
              <w:ind w:left="0"/>
              <w:jc w:val="left"/>
            </w:pPr>
            <w:r>
              <w:rPr>
                <w:rFonts w:eastAsia="等线" w:ascii="Arial" w:cs="Arial" w:hAnsi="Arial"/>
                <w:sz w:val="22"/>
              </w:rPr>
              <w:t xml:space="preserve">    "1726792497650208770",</w:t>
            </w:r>
          </w:p>
          <w:p>
            <w:pPr>
              <w:spacing w:before="120" w:after="120" w:line="288" w:lineRule="auto"/>
              <w:ind w:left="0"/>
              <w:jc w:val="left"/>
            </w:pPr>
            <w:r>
              <w:rPr>
                <w:rFonts w:eastAsia="等线" w:ascii="Arial" w:cs="Arial" w:hAnsi="Arial"/>
                <w:sz w:val="22"/>
              </w:rPr>
              <w:t xml:space="preserve">    "1726792497658597381",</w:t>
            </w:r>
          </w:p>
          <w:p>
            <w:pPr>
              <w:spacing w:before="120" w:after="120" w:line="288" w:lineRule="auto"/>
              <w:ind w:left="0"/>
              <w:jc w:val="left"/>
            </w:pPr>
            <w:r>
              <w:rPr>
                <w:rFonts w:eastAsia="等线" w:ascii="Arial" w:cs="Arial" w:hAnsi="Arial"/>
                <w:sz w:val="22"/>
              </w:rPr>
              <w:t xml:space="preserve">    "1726792497658597383"</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"insurancePlanId": "1727575594796875778", #保险方案id</w:t>
            </w:r>
          </w:p>
          <w:p>
            <w:pPr>
              <w:spacing w:before="120" w:after="120" w:line="288" w:lineRule="auto"/>
              <w:ind w:left="0"/>
              <w:jc w:val="left"/>
            </w:pPr>
            <w:r>
              <w:rPr>
                <w:rFonts w:eastAsia="等线" w:ascii="Arial" w:cs="Arial" w:hAnsi="Arial"/>
                <w:sz w:val="22"/>
              </w:rPr>
              <w:t xml:space="preserve">  "customerRelationIds": [ # 被投保人id集合</w:t>
            </w:r>
          </w:p>
          <w:p>
            <w:pPr>
              <w:spacing w:before="120" w:after="120" w:line="288" w:lineRule="auto"/>
              <w:ind w:left="0"/>
              <w:jc w:val="left"/>
            </w:pPr>
            <w:r>
              <w:rPr>
                <w:rFonts w:eastAsia="等线" w:ascii="Arial" w:cs="Arial" w:hAnsi="Arial"/>
                <w:sz w:val="22"/>
              </w:rPr>
              <w:t xml:space="preserve">    "1225092536525656054"</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w:t>
            </w:r>
          </w:p>
        </w:tc>
      </w:tr>
      <w:tr>
        <w:tc>
          <w:tcPr>
            <w:tcW w:w="10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响应结果</w:t>
            </w:r>
          </w:p>
        </w:tc>
        <w:tc>
          <w:tcPr>
            <w:tcW w:w="72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br/>
              <w:t xml:space="preserve">    "premium": 100,                              #投入金额</w:t>
              <w:br/>
              <w:t xml:space="preserve">    "premiums": 100,                             #投入总金额</w:t>
              <w:br/>
              <w:t xml:space="preserve">    "periods": 1,                                #投入期数</w:t>
              <w:br/>
              <w:t xml:space="preserve">    "periodicUnit": "ALL-IN",                    #投入方式</w:t>
              <w:br/>
              <w:t xml:space="preserve">    "periodic": "0",                             #投入周期时长</w:t>
              <w:br/>
              <w:t xml:space="preserve">    "putInEndTime": "2024-02-02 20:49:17",       #投入截止时间</w:t>
              <w:br/>
              <w:t xml:space="preserve">    "actualGetStartTime": "2048-02-02 20:49:17", #领取开始时间</w:t>
              <w:br/>
              <w:t xml:space="preserve">    "actualGetPeriodicUnit": "MONTH",            #领取频率</w:t>
              <w:br/>
              <w:t xml:space="preserve">    "periodicVos": [                             #每期详情</w:t>
              <w:br/>
              <w:t xml:space="preserve">        {</w:t>
              <w:br/>
              <w:t xml:space="preserve">            "periodic": "第1期",</w:t>
              <w:br/>
              <w:t xml:space="preserve">            "receivedAmount": 0.71000000,</w:t>
              <w:br/>
              <w:t xml:space="preserve">            "actualGetStartTime": "2048-02-02 20:49:17"</w:t>
              <w:br/>
              <w:t xml:space="preserve">        },</w:t>
              <w:br/>
              <w:t xml:space="preserve">        {</w:t>
              <w:br/>
              <w:t xml:space="preserve">            "periodic": "第2期",</w:t>
              <w:br/>
              <w:t xml:space="preserve">            "receivedAmount": 0.71000000,</w:t>
              <w:br/>
              <w:t xml:space="preserve">            "actualGetStartTime": "2048-03-02 20:49:17"</w:t>
              <w:br/>
              <w:t xml:space="preserve">        },</w:t>
              <w:br/>
              <w:t xml:space="preserve">        .....</w:t>
              <w:br/>
              <w:t xml:space="preserve">    ],</w:t>
              <w:br/>
              <w:t xml:space="preserve">    "receivedAmounts": 127.80,                  #领取总金额</w:t>
              <w:br/>
              <w:t xml:space="preserve">    "accumulatedEarnings": 27.80000000,         #累加收益</w:t>
              <w:br/>
              <w:t xml:space="preserve">    "multiple": 1.28                            #累计倍数</w:t>
              <w:br/>
            </w:r>
            <w:r>
              <w:rPr>
                <w:rFonts w:eastAsia="等线" w:ascii="Arial" w:cs="Arial" w:hAnsi="Arial"/>
                <w:sz w:val="22"/>
              </w:rPr>
              <w:t>}</w:t>
            </w:r>
          </w:p>
        </w:tc>
      </w:tr>
    </w:tbl>
    <w:p>
      <w:pPr>
        <w:pStyle w:val="2"/>
        <w:spacing w:before="320" w:after="120" w:line="288" w:lineRule="auto"/>
        <w:ind w:left="0"/>
        <w:jc w:val="left"/>
        <w:outlineLvl w:val="1"/>
      </w:pPr>
      <w:bookmarkStart w:name="heading_4" w:id="4"/>
      <w:r>
        <w:rPr>
          <w:rFonts w:eastAsia="等线" w:ascii="Arial" w:cs="Arial" w:hAnsi="Arial"/>
          <w:b w:val="true"/>
          <w:sz w:val="32"/>
        </w:rPr>
        <w:t>1.3、计算流程</w:t>
      </w:r>
      <w:bookmarkEnd w:id="4"/>
    </w:p>
    <w:p>
      <w:pPr>
        <w:spacing w:before="120" w:after="120" w:line="288" w:lineRule="auto"/>
        <w:ind w:left="0"/>
        <w:jc w:val="left"/>
      </w:pPr>
      <w:r>
        <w:rPr>
          <w:rFonts w:eastAsia="等线" w:ascii="Arial" w:cs="Arial" w:hAnsi="Arial"/>
          <w:sz w:val="22"/>
        </w:rPr>
        <w:t>我们梳理一下整个收益试算的业务流程，用户提交所选择的保险参数后，后台程序经过下列4个步骤：</w:t>
      </w:r>
    </w:p>
    <w:p>
      <w:pPr>
        <w:numPr>
          <w:numId w:val="3"/>
        </w:numPr>
        <w:spacing w:before="120" w:after="120" w:line="288" w:lineRule="auto"/>
        <w:ind w:left="0"/>
        <w:jc w:val="left"/>
      </w:pPr>
      <w:r>
        <w:rPr>
          <w:rFonts w:eastAsia="等线" w:ascii="Arial" w:cs="Arial" w:hAnsi="Arial"/>
          <w:sz w:val="22"/>
        </w:rPr>
        <w:t>收益试算路由：保险的产品有很多类，各自有自己需要处理的业务逻辑，根据传入计算标识选择对应的计算方式</w:t>
      </w:r>
    </w:p>
    <w:p>
      <w:pPr>
        <w:numPr>
          <w:numId w:val="4"/>
        </w:numPr>
        <w:spacing w:before="120" w:after="120" w:line="288" w:lineRule="auto"/>
        <w:ind w:left="0"/>
        <w:jc w:val="left"/>
      </w:pPr>
      <w:r>
        <w:rPr>
          <w:rFonts w:eastAsia="等线" w:ascii="Arial" w:cs="Arial" w:hAnsi="Arial"/>
          <w:sz w:val="22"/>
        </w:rPr>
        <w:t>参数预处理：关键性数据需要从后端数据库再次查询，查询后组织成需要的数据格式备用</w:t>
      </w:r>
    </w:p>
    <w:p>
      <w:pPr>
        <w:numPr>
          <w:numId w:val="5"/>
        </w:numPr>
        <w:spacing w:before="120" w:after="120" w:line="288" w:lineRule="auto"/>
        <w:ind w:left="0"/>
        <w:jc w:val="left"/>
      </w:pPr>
      <w:r>
        <w:rPr>
          <w:rFonts w:eastAsia="等线" w:ascii="Arial" w:cs="Arial" w:hAnsi="Arial"/>
          <w:sz w:val="22"/>
        </w:rPr>
        <w:t>系数预处理：参与系数的校验、最终收益金额与领取方式、领取频率、投入方式等有关</w:t>
      </w:r>
    </w:p>
    <w:p>
      <w:pPr>
        <w:numPr>
          <w:numId w:val="6"/>
        </w:numPr>
        <w:spacing w:before="120" w:after="120" w:line="288" w:lineRule="auto"/>
        <w:ind w:left="0"/>
        <w:jc w:val="left"/>
      </w:pPr>
      <w:r>
        <w:rPr>
          <w:rFonts w:eastAsia="等线" w:ascii="Arial" w:cs="Arial" w:hAnsi="Arial"/>
          <w:sz w:val="22"/>
        </w:rPr>
        <w:t>理财收益计算：按照个险类保险保费、团险类保险保费公式计算出用户最终的投保保费</w:t>
      </w:r>
    </w:p>
    <w:p>
      <w:pPr>
        <w:spacing w:before="120" w:after="120" w:line="288" w:lineRule="auto"/>
        <w:ind w:left="0"/>
        <w:jc w:val="center"/>
      </w:pPr>
      <w:r>
        <w:drawing>
          <wp:inline distT="0" distR="0" distB="0" distL="0">
            <wp:extent cx="5257800" cy="51054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5105400"/>
                    </a:xfrm>
                    <a:prstGeom prst="rect">
                      <a:avLst/>
                    </a:prstGeom>
                  </pic:spPr>
                </pic:pic>
              </a:graphicData>
            </a:graphic>
          </wp:inline>
        </w:drawing>
      </w:r>
    </w:p>
    <w:p>
      <w:pPr>
        <w:pStyle w:val="1"/>
        <w:spacing w:before="380" w:after="140" w:line="288" w:lineRule="auto"/>
        <w:ind w:left="0"/>
        <w:jc w:val="left"/>
        <w:outlineLvl w:val="0"/>
      </w:pPr>
      <w:bookmarkStart w:name="heading_5" w:id="5"/>
      <w:r>
        <w:rPr>
          <w:rFonts w:eastAsia="等线" w:ascii="Arial" w:cs="Arial" w:hAnsi="Arial"/>
          <w:b w:val="true"/>
          <w:sz w:val="36"/>
        </w:rPr>
        <w:t>2、收益试算策略</w:t>
      </w:r>
      <w:bookmarkEnd w:id="5"/>
    </w:p>
    <w:p>
      <w:pPr>
        <w:spacing w:before="120" w:after="120" w:line="288" w:lineRule="auto"/>
        <w:ind w:left="0"/>
        <w:jc w:val="left"/>
      </w:pPr>
      <w:r>
        <w:rPr>
          <w:rFonts w:eastAsia="等线" w:ascii="Arial" w:cs="Arial" w:hAnsi="Arial"/>
          <w:sz w:val="22"/>
        </w:rPr>
        <w:t>在四方保险中不同类型从产品，对应不同的保费计算；所以针对这些类型都设计了收益计算处理类InsureHandler；并应用策略模式初始化到map中；再根据前端传入的标识符从map中获取对应的处理器进行收益计算。如下图：</w:t>
      </w:r>
    </w:p>
    <w:p>
      <w:pPr>
        <w:spacing w:before="120" w:after="120" w:line="288" w:lineRule="auto"/>
        <w:ind w:left="0"/>
        <w:jc w:val="center"/>
      </w:pPr>
      <w:r>
        <w:drawing>
          <wp:inline distT="0" distR="0" distB="0" distL="0">
            <wp:extent cx="5257800" cy="26098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609850"/>
                    </a:xfrm>
                    <a:prstGeom prst="rect">
                      <a:avLst/>
                    </a:prstGeom>
                  </pic:spPr>
                </pic:pic>
              </a:graphicData>
            </a:graphic>
          </wp:inline>
        </w:drawing>
      </w:r>
    </w:p>
    <w:p>
      <w:pPr>
        <w:numPr>
          <w:numId w:val="7"/>
        </w:numPr>
        <w:spacing w:before="120" w:after="120" w:line="288" w:lineRule="auto"/>
        <w:ind w:left="0"/>
        <w:jc w:val="left"/>
      </w:pPr>
      <w:r>
        <w:rPr>
          <w:rFonts w:eastAsia="等线" w:ascii="Arial" w:cs="Arial" w:hAnsi="Arial"/>
          <w:b w:val="true"/>
          <w:sz w:val="22"/>
        </w:rPr>
        <w:t>项目启动阶段：</w:t>
      </w:r>
    </w:p>
    <w:p>
      <w:pPr>
        <w:spacing w:before="120" w:after="120" w:line="288" w:lineRule="auto"/>
        <w:ind w:left="453" w:firstLine="0"/>
        <w:jc w:val="left"/>
      </w:pPr>
      <w:r>
        <w:rPr>
          <w:rFonts w:eastAsia="等线" w:ascii="Arial" w:cs="Arial" w:hAnsi="Arial"/>
          <w:sz w:val="22"/>
        </w:rPr>
        <w:t>项目启动时，InsureHandler投保处理接口实现如：医疗、重疾、意外、旅游、养老、年金等会被Spring托管放入IOC容器。</w:t>
      </w:r>
    </w:p>
    <w:p>
      <w:pPr>
        <w:spacing w:before="120" w:after="120" w:line="288" w:lineRule="auto"/>
        <w:ind w:left="453" w:firstLine="0"/>
        <w:jc w:val="left"/>
      </w:pPr>
      <w:r>
        <w:rPr>
          <w:rFonts w:eastAsia="等线" w:ascii="Arial" w:cs="Arial" w:hAnsi="Arial"/>
          <w:sz w:val="22"/>
        </w:rPr>
        <w:t>静态变量InsuranceTypeMap被构建，并设置insuranceTypeMap中的内容：K：checkRule参数，V：投保实现类bean名称</w:t>
      </w:r>
    </w:p>
    <w:p>
      <w:pPr>
        <w:numPr>
          <w:numId w:val="8"/>
        </w:numPr>
        <w:spacing w:before="120" w:after="120" w:line="288" w:lineRule="auto"/>
        <w:ind w:left="0"/>
        <w:jc w:val="left"/>
      </w:pPr>
      <w:r>
        <w:rPr>
          <w:rFonts w:eastAsia="等线" w:ascii="Arial" w:cs="Arial" w:hAnsi="Arial"/>
          <w:b w:val="true"/>
          <w:sz w:val="22"/>
        </w:rPr>
        <w:t>业务请求阶段：</w:t>
      </w:r>
    </w:p>
    <w:p>
      <w:pPr>
        <w:spacing w:before="120" w:after="120" w:line="288" w:lineRule="auto"/>
        <w:ind w:left="453" w:firstLine="0"/>
        <w:jc w:val="left"/>
      </w:pPr>
      <w:r>
        <w:rPr>
          <w:rFonts w:eastAsia="等线" w:ascii="Arial" w:cs="Arial" w:hAnsi="Arial"/>
          <w:sz w:val="22"/>
        </w:rPr>
        <w:t>传入checkRule参数从insuranceTypeMap中依据K值找到V值，也就是拿到处理类的bean名称</w:t>
      </w:r>
    </w:p>
    <w:p>
      <w:pPr>
        <w:spacing w:before="120" w:after="120" w:line="288" w:lineRule="auto"/>
        <w:ind w:left="453" w:firstLine="0"/>
        <w:jc w:val="left"/>
      </w:pPr>
      <w:r>
        <w:rPr>
          <w:rFonts w:eastAsia="等线" w:ascii="Arial" w:cs="Arial" w:hAnsi="Arial"/>
          <w:sz w:val="22"/>
        </w:rPr>
        <w:t>依据bean名称通过IOC容器工具类从IOC中获得具体的保处理接口的某个实现类去处理具体的业务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根据接口信息；具体代码中跟踪如下：</w:t>
      </w:r>
    </w:p>
    <w:p>
      <w:pPr>
        <w:spacing w:before="120" w:after="120" w:line="288" w:lineRule="auto"/>
        <w:ind w:left="0"/>
        <w:jc w:val="center"/>
      </w:pPr>
      <w:r>
        <w:drawing>
          <wp:inline distT="0" distR="0" distB="0" distL="0">
            <wp:extent cx="5257800" cy="18002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1800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业务方法中；应用策略模式获取对应的保费处理器：</w:t>
      </w:r>
    </w:p>
    <w:p>
      <w:pPr>
        <w:spacing w:before="120" w:after="120" w:line="288" w:lineRule="auto"/>
        <w:ind w:left="0"/>
        <w:jc w:val="center"/>
      </w:pPr>
      <w:r>
        <w:drawing>
          <wp:inline distT="0" distR="0" distB="0" distL="0">
            <wp:extent cx="5257800" cy="23431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343150"/>
                    </a:xfrm>
                    <a:prstGeom prst="rect">
                      <a:avLst/>
                    </a:prstGeom>
                  </pic:spPr>
                </pic:pic>
              </a:graphicData>
            </a:graphic>
          </wp:inline>
        </w:drawing>
      </w:r>
    </w:p>
    <w:p>
      <w:pPr>
        <w:pStyle w:val="1"/>
        <w:spacing w:before="380" w:after="140" w:line="288" w:lineRule="auto"/>
        <w:ind w:left="0"/>
        <w:jc w:val="left"/>
        <w:outlineLvl w:val="0"/>
      </w:pPr>
      <w:bookmarkStart w:name="heading_6" w:id="6"/>
      <w:r>
        <w:rPr>
          <w:rFonts w:eastAsia="等线" w:ascii="Arial" w:cs="Arial" w:hAnsi="Arial"/>
          <w:b w:val="true"/>
          <w:sz w:val="36"/>
        </w:rPr>
        <w:t>3、参数预处理</w:t>
      </w:r>
      <w:bookmarkEnd w:id="6"/>
    </w:p>
    <w:p>
      <w:pPr>
        <w:pStyle w:val="2"/>
        <w:spacing w:before="320" w:after="120" w:line="288" w:lineRule="auto"/>
        <w:ind w:left="0"/>
        <w:jc w:val="left"/>
        <w:outlineLvl w:val="1"/>
      </w:pPr>
      <w:bookmarkStart w:name="heading_7" w:id="7"/>
      <w:r>
        <w:rPr>
          <w:rFonts w:eastAsia="等线" w:ascii="Arial" w:cs="Arial" w:hAnsi="Arial"/>
          <w:b w:val="true"/>
          <w:sz w:val="32"/>
        </w:rPr>
        <w:t>3.1、流程</w:t>
      </w:r>
      <w:bookmarkEnd w:id="7"/>
    </w:p>
    <w:p>
      <w:pPr>
        <w:spacing w:before="120" w:after="120" w:line="288" w:lineRule="auto"/>
        <w:ind w:left="0"/>
        <w:jc w:val="left"/>
      </w:pPr>
      <w:r>
        <w:rPr>
          <w:rFonts w:eastAsia="等线" w:ascii="Arial" w:cs="Arial" w:hAnsi="Arial"/>
          <w:sz w:val="22"/>
        </w:rPr>
        <w:t>在上一步确定了收益处理器之后；在收益处理器中；首先进行的是参数预处理：流程如下：</w:t>
      </w:r>
    </w:p>
    <w:p>
      <w:pPr>
        <w:spacing w:before="120" w:after="120" w:line="288" w:lineRule="auto"/>
        <w:ind w:left="0"/>
        <w:jc w:val="center"/>
      </w:pPr>
      <w:r>
        <w:drawing>
          <wp:inline distT="0" distR="0" distB="0" distL="0">
            <wp:extent cx="5257800" cy="51054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5105400"/>
                    </a:xfrm>
                    <a:prstGeom prst="rect">
                      <a:avLst/>
                    </a:prstGeom>
                  </pic:spPr>
                </pic:pic>
              </a:graphicData>
            </a:graphic>
          </wp:inline>
        </w:drawing>
      </w:r>
    </w:p>
    <w:p>
      <w:pPr>
        <w:pStyle w:val="2"/>
        <w:spacing w:before="320" w:after="120" w:line="288" w:lineRule="auto"/>
        <w:ind w:left="0"/>
        <w:jc w:val="left"/>
        <w:outlineLvl w:val="1"/>
      </w:pPr>
      <w:bookmarkStart w:name="heading_8" w:id="8"/>
      <w:r>
        <w:rPr>
          <w:rFonts w:eastAsia="等线" w:ascii="Arial" w:cs="Arial" w:hAnsi="Arial"/>
          <w:b w:val="true"/>
          <w:sz w:val="32"/>
        </w:rPr>
        <w:t>3.2、回顾产品模型</w:t>
      </w:r>
      <w:bookmarkEnd w:id="8"/>
    </w:p>
    <w:p>
      <w:pPr>
        <w:spacing w:before="120" w:after="120" w:line="288" w:lineRule="auto"/>
        <w:ind w:left="0"/>
        <w:jc w:val="left"/>
      </w:pPr>
      <w:r>
        <w:rPr>
          <w:rFonts w:eastAsia="等线" w:ascii="Arial" w:cs="Arial" w:hAnsi="Arial"/>
          <w:sz w:val="22"/>
        </w:rPr>
        <w:t>参数预处理就是根据产品id查询相关的所有数据；那产品关联的数据有哪些？我们通过概念模型直观的查看一下：</w:t>
      </w:r>
    </w:p>
    <w:p>
      <w:pPr>
        <w:spacing w:before="120" w:after="120" w:line="288" w:lineRule="auto"/>
        <w:ind w:left="0"/>
        <w:jc w:val="center"/>
      </w:pPr>
      <w:r>
        <w:drawing>
          <wp:inline distT="0" distR="0" distB="0" distL="0">
            <wp:extent cx="5257800" cy="26574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2657475"/>
                    </a:xfrm>
                    <a:prstGeom prst="rect">
                      <a:avLst/>
                    </a:prstGeom>
                  </pic:spPr>
                </pic:pic>
              </a:graphicData>
            </a:graphic>
          </wp:inline>
        </w:drawing>
      </w:r>
    </w:p>
    <w:p>
      <w:pPr>
        <w:pStyle w:val="2"/>
        <w:spacing w:before="320" w:after="120" w:line="288" w:lineRule="auto"/>
        <w:ind w:left="0"/>
        <w:jc w:val="left"/>
        <w:outlineLvl w:val="1"/>
      </w:pPr>
      <w:bookmarkStart w:name="heading_9" w:id="9"/>
      <w:r>
        <w:rPr>
          <w:rFonts w:eastAsia="等线" w:ascii="Arial" w:cs="Arial" w:hAnsi="Arial"/>
          <w:b w:val="true"/>
          <w:sz w:val="32"/>
        </w:rPr>
        <w:t>3.3、功能实现</w:t>
      </w:r>
      <w:bookmarkEnd w:id="9"/>
    </w:p>
    <w:p>
      <w:pPr>
        <w:spacing w:before="120" w:after="120" w:line="288" w:lineRule="auto"/>
        <w:ind w:left="0"/>
        <w:jc w:val="left"/>
      </w:pPr>
      <w:r>
        <w:rPr>
          <w:rFonts w:eastAsia="等线" w:ascii="Arial" w:cs="Arial" w:hAnsi="Arial"/>
          <w:sz w:val="22"/>
        </w:rPr>
        <w:t>了解保险产品的关系之后；代码中查询如下：</w:t>
      </w:r>
    </w:p>
    <w:p>
      <w:pPr>
        <w:spacing w:before="120" w:after="120" w:line="288" w:lineRule="auto"/>
        <w:ind w:left="0"/>
        <w:jc w:val="center"/>
      </w:pPr>
      <w:r>
        <w:drawing>
          <wp:inline distT="0" distR="0" distB="0" distL="0">
            <wp:extent cx="5257800" cy="25622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具体查询的代码：</w:t>
      </w:r>
    </w:p>
    <w:p>
      <w:pPr>
        <w:spacing w:before="120" w:after="120" w:line="288" w:lineRule="auto"/>
        <w:ind w:left="0"/>
        <w:jc w:val="left"/>
      </w:pPr>
      <w:r>
        <w:rPr>
          <w:rFonts w:eastAsia="Consolas" w:ascii="Consolas" w:cs="Consolas" w:hAnsi="Consolas"/>
          <w:sz w:val="22"/>
          <w:shd w:fill="EFF0F1"/>
        </w:rPr>
        <w:t>com.itheima.sfbx.insurance.handler.impl.BaseProcessHandler#buildInsureProcessVO</w:t>
      </w:r>
    </w:p>
    <w:p>
      <w:pPr>
        <w:spacing w:before="120" w:after="120" w:line="288" w:lineRule="auto"/>
        <w:ind w:left="0"/>
        <w:jc w:val="center"/>
      </w:pPr>
      <w:r>
        <w:drawing>
          <wp:inline distT="0" distR="0" distB="0" distL="0">
            <wp:extent cx="5257800" cy="27717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2771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从代码中我们可以看出；最终查询出来的结果全部都封装到了 </w:t>
      </w:r>
      <w:r>
        <w:rPr>
          <w:rFonts w:eastAsia="Consolas" w:ascii="Consolas" w:cs="Consolas" w:hAnsi="Consolas"/>
          <w:sz w:val="22"/>
          <w:shd w:fill="EFF0F1"/>
        </w:rPr>
        <w:t>InsureProcessVO</w:t>
      </w:r>
      <w:r>
        <w:rPr>
          <w:rFonts w:eastAsia="等线" w:ascii="Arial" w:cs="Arial" w:hAnsi="Arial"/>
          <w:sz w:val="22"/>
        </w:rPr>
        <w:t xml:space="preserve"> 也就是；在实现过程中，查询到的数据都往这个返回结果中设置即可。</w:t>
      </w:r>
    </w:p>
    <w:p>
      <w:pPr>
        <w:spacing w:before="120" w:after="120" w:line="288" w:lineRule="auto"/>
        <w:ind w:left="0"/>
        <w:jc w:val="left"/>
      </w:pPr>
    </w:p>
    <w:p>
      <w:pPr>
        <w:spacing w:before="120" w:after="120" w:line="288" w:lineRule="auto"/>
        <w:ind w:left="0"/>
        <w:jc w:val="left"/>
      </w:pPr>
      <w:r>
        <w:rPr>
          <w:rFonts w:eastAsia="等线" w:ascii="Arial" w:cs="Arial" w:hAnsi="Arial"/>
          <w:color w:val="d83931"/>
          <w:sz w:val="22"/>
        </w:rPr>
        <w:t>参数的预处理：根据出入的保险产品ID、保险方案ID、保险系数IDS去构建后续的处理参数，</w:t>
      </w:r>
      <w:r>
        <w:rPr>
          <w:rFonts w:eastAsia="等线" w:ascii="Arial" w:cs="Arial" w:hAnsi="Arial"/>
          <w:sz w:val="22"/>
        </w:rPr>
        <w:t>在做业务处理时候需要各位注意的是：</w:t>
      </w:r>
    </w:p>
    <w:p>
      <w:pPr>
        <w:numPr>
          <w:numId w:val="9"/>
        </w:numPr>
        <w:spacing w:before="120" w:after="120" w:line="288" w:lineRule="auto"/>
        <w:ind w:left="0"/>
        <w:jc w:val="left"/>
      </w:pPr>
      <w:r>
        <w:rPr>
          <w:rFonts w:eastAsia="等线" w:ascii="Arial" w:cs="Arial" w:hAnsi="Arial"/>
          <w:sz w:val="22"/>
        </w:rPr>
        <w:t>保险产品的ID能查询出保险产品，且保险产品状态必须是上线状态</w:t>
      </w:r>
    </w:p>
    <w:p>
      <w:pPr>
        <w:numPr>
          <w:numId w:val="10"/>
        </w:numPr>
        <w:spacing w:before="120" w:after="120" w:line="288" w:lineRule="auto"/>
        <w:ind w:left="0"/>
        <w:jc w:val="left"/>
      </w:pPr>
      <w:r>
        <w:rPr>
          <w:rFonts w:eastAsia="等线" w:ascii="Arial" w:cs="Arial" w:hAnsi="Arial"/>
          <w:sz w:val="22"/>
        </w:rPr>
        <w:t>保险方案必须是属于当前保险产品，且同时查询出方案保障项、方案给付方案</w:t>
      </w:r>
    </w:p>
    <w:p>
      <w:pPr>
        <w:numPr>
          <w:numId w:val="11"/>
        </w:numPr>
        <w:spacing w:before="120" w:after="120" w:line="288" w:lineRule="auto"/>
        <w:ind w:left="0"/>
        <w:jc w:val="left"/>
      </w:pPr>
      <w:r>
        <w:rPr>
          <w:rFonts w:eastAsia="等线" w:ascii="Arial" w:cs="Arial" w:hAnsi="Arial"/>
          <w:sz w:val="22"/>
        </w:rPr>
        <w:t>按传入的保险系数IDS查询保险系数项，且保险系数属于当前保险产品</w:t>
      </w:r>
    </w:p>
    <w:p>
      <w:pPr>
        <w:pStyle w:val="1"/>
        <w:spacing w:before="380" w:after="140" w:line="288" w:lineRule="auto"/>
        <w:ind w:left="0"/>
        <w:jc w:val="left"/>
        <w:outlineLvl w:val="0"/>
      </w:pPr>
      <w:bookmarkStart w:name="heading_10" w:id="10"/>
      <w:r>
        <w:rPr>
          <w:rFonts w:eastAsia="等线" w:ascii="Arial" w:cs="Arial" w:hAnsi="Arial"/>
          <w:b w:val="true"/>
          <w:sz w:val="36"/>
        </w:rPr>
        <w:t>4、系数预处理</w:t>
      </w:r>
      <w:bookmarkEnd w:id="10"/>
    </w:p>
    <w:p>
      <w:pPr>
        <w:pStyle w:val="2"/>
        <w:spacing w:before="320" w:after="120" w:line="288" w:lineRule="auto"/>
        <w:ind w:left="0"/>
        <w:jc w:val="left"/>
        <w:outlineLvl w:val="1"/>
      </w:pPr>
      <w:bookmarkStart w:name="heading_11" w:id="11"/>
      <w:r>
        <w:rPr>
          <w:rFonts w:eastAsia="等线" w:ascii="Arial" w:cs="Arial" w:hAnsi="Arial"/>
          <w:b w:val="true"/>
          <w:sz w:val="32"/>
        </w:rPr>
        <w:t>4.1、流程</w:t>
      </w:r>
      <w:bookmarkEnd w:id="11"/>
    </w:p>
    <w:p>
      <w:pPr>
        <w:spacing w:before="120" w:after="120" w:line="288" w:lineRule="auto"/>
        <w:ind w:left="0"/>
        <w:jc w:val="left"/>
      </w:pPr>
      <w:r>
        <w:rPr>
          <w:rFonts w:eastAsia="等线" w:ascii="Arial" w:cs="Arial" w:hAnsi="Arial"/>
          <w:sz w:val="22"/>
        </w:rPr>
        <w:t>在参数预处理完后；再根据如下流程需要处理系数项：</w:t>
      </w:r>
    </w:p>
    <w:p>
      <w:pPr>
        <w:spacing w:before="120" w:after="120" w:line="288" w:lineRule="auto"/>
        <w:ind w:left="0"/>
        <w:jc w:val="center"/>
      </w:pPr>
      <w:r>
        <w:drawing>
          <wp:inline distT="0" distR="0" distB="0" distL="0">
            <wp:extent cx="5257800" cy="51054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5105400"/>
                    </a:xfrm>
                    <a:prstGeom prst="rect">
                      <a:avLst/>
                    </a:prstGeom>
                  </pic:spPr>
                </pic:pic>
              </a:graphicData>
            </a:graphic>
          </wp:inline>
        </w:drawing>
      </w:r>
    </w:p>
    <w:p>
      <w:pPr>
        <w:pStyle w:val="2"/>
        <w:spacing w:before="320" w:after="120" w:line="288" w:lineRule="auto"/>
        <w:ind w:left="0"/>
        <w:jc w:val="left"/>
        <w:outlineLvl w:val="1"/>
      </w:pPr>
      <w:bookmarkStart w:name="heading_12" w:id="12"/>
      <w:r>
        <w:rPr>
          <w:rFonts w:eastAsia="等线" w:ascii="Arial" w:cs="Arial" w:hAnsi="Arial"/>
          <w:b w:val="true"/>
          <w:sz w:val="32"/>
        </w:rPr>
        <w:t>4.2、功能分析</w:t>
      </w:r>
      <w:bookmarkEnd w:id="12"/>
    </w:p>
    <w:p>
      <w:pPr>
        <w:spacing w:before="120" w:after="120" w:line="288" w:lineRule="auto"/>
        <w:ind w:left="0"/>
        <w:jc w:val="left"/>
      </w:pPr>
      <w:r>
        <w:rPr>
          <w:rFonts w:eastAsia="等线" w:ascii="Arial" w:cs="Arial" w:hAnsi="Arial"/>
          <w:b w:val="true"/>
          <w:sz w:val="22"/>
        </w:rPr>
        <w:t>目标</w:t>
      </w:r>
      <w:r>
        <w:rPr>
          <w:rFonts w:eastAsia="等线" w:ascii="Arial" w:cs="Arial" w:hAnsi="Arial"/>
          <w:sz w:val="22"/>
        </w:rPr>
        <w:t>：</w:t>
      </w:r>
    </w:p>
    <w:p>
      <w:pPr>
        <w:spacing w:before="120" w:after="120" w:line="288" w:lineRule="auto"/>
        <w:ind w:left="0"/>
        <w:jc w:val="left"/>
      </w:pPr>
      <w:r>
        <w:rPr>
          <w:rFonts w:eastAsia="等线" w:ascii="Arial" w:cs="Arial" w:hAnsi="Arial"/>
          <w:sz w:val="22"/>
        </w:rPr>
        <w:t>最终收益的内容与各系数有关系；所以要确定下来详情页面中选择的系数项及隐含的一些系数获取并处理。</w:t>
      </w:r>
    </w:p>
    <w:p>
      <w:pPr>
        <w:spacing w:before="120" w:after="120" w:line="288" w:lineRule="auto"/>
        <w:ind w:left="0"/>
        <w:jc w:val="left"/>
      </w:pPr>
      <w:r>
        <w:rPr>
          <w:rFonts w:eastAsia="等线" w:ascii="Arial" w:cs="Arial" w:hAnsi="Arial"/>
          <w:sz w:val="22"/>
        </w:rPr>
        <w:t>也就是说：</w:t>
      </w:r>
    </w:p>
    <w:p>
      <w:pPr>
        <w:spacing w:before="120" w:after="120" w:line="288" w:lineRule="auto"/>
        <w:ind w:left="0"/>
        <w:jc w:val="center"/>
      </w:pPr>
      <w:r>
        <w:drawing>
          <wp:inline distT="0" distR="0" distB="0" distL="0">
            <wp:extent cx="5257800" cy="26765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267652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上述的系数项查询是根据前端选择的系数项id数组从数据库中查询出来的系数项列表</w:t>
            </w:r>
          </w:p>
          <w:p>
            <w:pPr>
              <w:spacing w:before="120" w:after="120" w:line="288" w:lineRule="auto"/>
              <w:ind w:left="0"/>
              <w:jc w:val="left"/>
            </w:pPr>
          </w:p>
        </w:tc>
      </w:tr>
    </w:tbl>
    <w:p>
      <w:pPr>
        <w:spacing w:before="120" w:after="120" w:line="288" w:lineRule="auto"/>
        <w:ind w:left="0"/>
        <w:jc w:val="left"/>
      </w:pPr>
      <w:r>
        <w:rPr>
          <w:rFonts w:eastAsia="等线" w:ascii="Arial" w:cs="Arial" w:hAnsi="Arial"/>
          <w:sz w:val="22"/>
        </w:rPr>
        <w:t>这些从前端传递过来的系数项是否符合标准；根据如下要求进行校验：</w:t>
      </w:r>
    </w:p>
    <w:p>
      <w:pPr>
        <w:spacing w:before="120" w:after="120" w:line="288" w:lineRule="auto"/>
        <w:ind w:left="0"/>
        <w:jc w:val="center"/>
      </w:pPr>
      <w:r>
        <w:drawing>
          <wp:inline distT="0" distR="0" distB="0" distL="0">
            <wp:extent cx="5257800" cy="26860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2686050"/>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12"/>
              </w:numPr>
              <w:spacing w:before="120" w:after="120" w:line="288" w:lineRule="auto"/>
              <w:ind w:left="0"/>
              <w:jc w:val="left"/>
            </w:pPr>
            <w:r>
              <w:rPr>
                <w:rFonts w:eastAsia="等线" w:ascii="Arial" w:cs="Arial" w:hAnsi="Arial"/>
                <w:sz w:val="22"/>
              </w:rPr>
              <w:t>检测系数唯一性：相同类型的系数只能传入一个，我们可以通过分组然后判断组内的系数个数来处理</w:t>
            </w:r>
          </w:p>
          <w:p>
            <w:pPr>
              <w:numPr>
                <w:numId w:val="13"/>
              </w:numPr>
              <w:spacing w:before="120" w:after="120" w:line="288" w:lineRule="auto"/>
              <w:ind w:left="0"/>
              <w:jc w:val="left"/>
            </w:pPr>
            <w:r>
              <w:rPr>
                <w:rFonts w:eastAsia="等线" w:ascii="Arial" w:cs="Arial" w:hAnsi="Arial"/>
                <w:sz w:val="22"/>
              </w:rPr>
              <w:t>必填参数校验，必填的参数：</w:t>
            </w:r>
          </w:p>
          <w:p>
            <w:pPr>
              <w:numPr>
                <w:numId w:val="14"/>
              </w:numPr>
              <w:spacing w:before="120" w:after="120" w:line="288" w:lineRule="auto"/>
              <w:ind w:left="453"/>
              <w:jc w:val="left"/>
            </w:pPr>
            <w:r>
              <w:rPr>
                <w:rFonts w:eastAsia="等线" w:ascii="Arial" w:cs="Arial" w:hAnsi="Arial"/>
                <w:sz w:val="22"/>
              </w:rPr>
              <w:t>领取开始系数</w:t>
            </w:r>
          </w:p>
          <w:p>
            <w:pPr>
              <w:numPr>
                <w:numId w:val="15"/>
              </w:numPr>
              <w:spacing w:before="120" w:after="120" w:line="288" w:lineRule="auto"/>
              <w:ind w:left="453"/>
              <w:jc w:val="left"/>
            </w:pPr>
            <w:r>
              <w:rPr>
                <w:rFonts w:eastAsia="等线" w:ascii="Arial" w:cs="Arial" w:hAnsi="Arial"/>
                <w:sz w:val="22"/>
              </w:rPr>
              <w:t>领取周期系数</w:t>
            </w:r>
          </w:p>
          <w:p>
            <w:pPr>
              <w:numPr>
                <w:numId w:val="16"/>
              </w:numPr>
              <w:spacing w:before="120" w:after="120" w:line="288" w:lineRule="auto"/>
              <w:ind w:left="453"/>
              <w:jc w:val="left"/>
            </w:pPr>
            <w:r>
              <w:rPr>
                <w:rFonts w:eastAsia="等线" w:ascii="Arial" w:cs="Arial" w:hAnsi="Arial"/>
                <w:sz w:val="22"/>
              </w:rPr>
              <w:t>投入方式系数</w:t>
            </w:r>
          </w:p>
          <w:p>
            <w:pPr>
              <w:numPr>
                <w:numId w:val="17"/>
              </w:numPr>
              <w:spacing w:before="120" w:after="120" w:line="288" w:lineRule="auto"/>
              <w:ind w:left="453"/>
              <w:jc w:val="left"/>
            </w:pPr>
            <w:r>
              <w:rPr>
                <w:rFonts w:eastAsia="等线" w:ascii="Arial" w:cs="Arial" w:hAnsi="Arial"/>
                <w:sz w:val="22"/>
              </w:rPr>
              <w:t>投入方式：</w:t>
            </w:r>
          </w:p>
          <w:p>
            <w:pPr>
              <w:numPr>
                <w:numId w:val="18"/>
              </w:numPr>
              <w:spacing w:before="120" w:after="120" w:line="288" w:lineRule="auto"/>
              <w:ind w:left="907"/>
              <w:jc w:val="left"/>
            </w:pPr>
            <w:r>
              <w:rPr>
                <w:rFonts w:eastAsia="等线" w:ascii="Arial" w:cs="Arial" w:hAnsi="Arial"/>
                <w:sz w:val="22"/>
              </w:rPr>
              <w:t>固定期缴纳：投入周期、投入时长</w:t>
            </w:r>
          </w:p>
          <w:p>
            <w:pPr>
              <w:numPr>
                <w:numId w:val="19"/>
              </w:numPr>
              <w:spacing w:before="120" w:after="120" w:line="288" w:lineRule="auto"/>
              <w:ind w:left="907"/>
              <w:jc w:val="left"/>
            </w:pPr>
            <w:r>
              <w:rPr>
                <w:rFonts w:eastAsia="等线" w:ascii="Arial" w:cs="Arial" w:hAnsi="Arial"/>
                <w:sz w:val="22"/>
              </w:rPr>
              <w:t>一次性缴纳：无投入周期和投入时长</w:t>
            </w:r>
          </w:p>
          <w:p>
            <w:pPr>
              <w:numPr>
                <w:numId w:val="20"/>
              </w:numPr>
              <w:spacing w:before="120" w:after="120" w:line="288" w:lineRule="auto"/>
              <w:ind w:left="0"/>
              <w:jc w:val="left"/>
            </w:pPr>
            <w:r>
              <w:rPr>
                <w:rFonts w:eastAsia="等线" w:ascii="Arial" w:cs="Arial" w:hAnsi="Arial"/>
                <w:sz w:val="22"/>
              </w:rPr>
              <w:t>投保年龄就是否符合：根据被投保人身份证信息算出年龄，然后判断年龄是否在投保年龄范围内</w:t>
            </w:r>
          </w:p>
          <w:p>
            <w:pPr>
              <w:numPr>
                <w:numId w:val="21"/>
              </w:numPr>
              <w:spacing w:before="120" w:after="120" w:line="288" w:lineRule="auto"/>
              <w:ind w:left="0"/>
              <w:jc w:val="left"/>
            </w:pPr>
            <w:r>
              <w:rPr>
                <w:rFonts w:eastAsia="等线" w:ascii="Arial" w:cs="Arial" w:hAnsi="Arial"/>
                <w:sz w:val="22"/>
              </w:rPr>
              <w:t>投入金额是否符合：一次性投入，周投入、月投入、年投入的上限判断</w:t>
            </w:r>
          </w:p>
        </w:tc>
      </w:tr>
    </w:tbl>
    <w:p>
      <w:pPr>
        <w:spacing w:before="120" w:after="120" w:line="288" w:lineRule="auto"/>
        <w:ind w:left="0"/>
        <w:jc w:val="left"/>
      </w:pPr>
      <w:r>
        <w:rPr>
          <w:rFonts w:eastAsia="等线" w:ascii="Arial" w:cs="Arial" w:hAnsi="Arial"/>
          <w:sz w:val="22"/>
        </w:rPr>
        <w:t>在管理后台中对保险产品设置的时候：</w:t>
      </w:r>
    </w:p>
    <w:p>
      <w:pPr>
        <w:spacing w:before="120" w:after="120" w:line="288" w:lineRule="auto"/>
        <w:ind w:left="0"/>
        <w:jc w:val="center"/>
      </w:pPr>
      <w:r>
        <w:drawing>
          <wp:inline distT="0" distR="0" distB="0" distL="0">
            <wp:extent cx="5257800" cy="26860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而在前端app中输入的投入金额是变化且经过网络传输；所以需要校验。</w:t>
      </w:r>
    </w:p>
    <w:p>
      <w:pPr>
        <w:spacing w:before="120" w:after="120" w:line="288" w:lineRule="auto"/>
        <w:ind w:left="0"/>
        <w:jc w:val="center"/>
      </w:pPr>
      <w:r>
        <w:drawing>
          <wp:inline distT="0" distR="0" distB="0" distL="0">
            <wp:extent cx="5257800" cy="36576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3657600"/>
                    </a:xfrm>
                    <a:prstGeom prst="rect">
                      <a:avLst/>
                    </a:prstGeom>
                  </pic:spPr>
                </pic:pic>
              </a:graphicData>
            </a:graphic>
          </wp:inline>
        </w:drawing>
      </w:r>
    </w:p>
    <w:p>
      <w:pPr>
        <w:pStyle w:val="2"/>
        <w:spacing w:before="320" w:after="120" w:line="288" w:lineRule="auto"/>
        <w:ind w:left="0"/>
        <w:jc w:val="left"/>
        <w:outlineLvl w:val="1"/>
      </w:pPr>
      <w:bookmarkStart w:name="heading_13" w:id="13"/>
      <w:r>
        <w:rPr>
          <w:rFonts w:eastAsia="等线" w:ascii="Arial" w:cs="Arial" w:hAnsi="Arial"/>
          <w:b w:val="true"/>
          <w:sz w:val="32"/>
        </w:rPr>
        <w:t>4.3、功能实现</w:t>
      </w:r>
      <w:bookmarkEnd w:id="13"/>
    </w:p>
    <w:p>
      <w:pPr>
        <w:spacing w:before="120" w:after="120" w:line="288" w:lineRule="auto"/>
        <w:ind w:left="0"/>
        <w:jc w:val="left"/>
      </w:pPr>
      <w:r>
        <w:rPr>
          <w:rFonts w:eastAsia="等线" w:ascii="Arial" w:cs="Arial" w:hAnsi="Arial"/>
          <w:sz w:val="22"/>
        </w:rPr>
        <w:t>理财类的系数与前面保障类的系数校验唯一性、年龄的做法是一样的，代码实现也相同。</w:t>
      </w:r>
    </w:p>
    <w:p>
      <w:pPr>
        <w:spacing w:before="120" w:after="120" w:line="288" w:lineRule="auto"/>
        <w:ind w:left="0"/>
        <w:jc w:val="left"/>
      </w:pPr>
      <w:r>
        <w:rPr>
          <w:rFonts w:eastAsia="等线" w:ascii="Arial" w:cs="Arial" w:hAnsi="Arial"/>
          <w:sz w:val="22"/>
        </w:rPr>
        <w:t>下面看看理财类中对投保金额 与产品方案中设置的进行校验：</w:t>
      </w:r>
    </w:p>
    <w:p>
      <w:pPr>
        <w:spacing w:before="120" w:after="120" w:line="288" w:lineRule="auto"/>
        <w:ind w:left="0"/>
        <w:jc w:val="left"/>
      </w:pPr>
    </w:p>
    <w:p>
      <w:pPr>
        <w:spacing w:before="120" w:after="120" w:line="288" w:lineRule="auto"/>
        <w:ind w:left="0"/>
        <w:jc w:val="center"/>
      </w:pPr>
      <w:r>
        <w:drawing>
          <wp:inline distT="0" distR="0" distB="0" distL="0">
            <wp:extent cx="5257800" cy="29527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2952750"/>
                    </a:xfrm>
                    <a:prstGeom prst="rect">
                      <a:avLst/>
                    </a:prstGeom>
                  </pic:spPr>
                </pic:pic>
              </a:graphicData>
            </a:graphic>
          </wp:inline>
        </w:drawing>
      </w:r>
    </w:p>
    <w:p>
      <w:pPr>
        <w:spacing w:before="120" w:after="120" w:line="288" w:lineRule="auto"/>
        <w:ind w:left="0"/>
        <w:jc w:val="center"/>
      </w:pPr>
      <w:r>
        <w:drawing>
          <wp:inline distT="0" distR="0" distB="0" distL="0">
            <wp:extent cx="5257800" cy="26955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2695575"/>
                    </a:xfrm>
                    <a:prstGeom prst="rect">
                      <a:avLst/>
                    </a:prstGeom>
                  </pic:spPr>
                </pic:pic>
              </a:graphicData>
            </a:graphic>
          </wp:inline>
        </w:drawing>
      </w:r>
    </w:p>
    <w:p>
      <w:pPr>
        <w:pStyle w:val="1"/>
        <w:spacing w:before="380" w:after="140" w:line="288" w:lineRule="auto"/>
        <w:ind w:left="0"/>
        <w:jc w:val="left"/>
        <w:outlineLvl w:val="0"/>
      </w:pPr>
      <w:bookmarkStart w:name="heading_14" w:id="14"/>
      <w:r>
        <w:rPr>
          <w:rFonts w:eastAsia="等线" w:ascii="Arial" w:cs="Arial" w:hAnsi="Arial"/>
          <w:b w:val="true"/>
          <w:sz w:val="36"/>
        </w:rPr>
        <w:t>5、收益试算</w:t>
      </w:r>
      <w:bookmarkEnd w:id="14"/>
    </w:p>
    <w:p>
      <w:pPr>
        <w:pStyle w:val="2"/>
        <w:spacing w:before="320" w:after="120" w:line="288" w:lineRule="auto"/>
        <w:ind w:left="0"/>
        <w:jc w:val="left"/>
        <w:outlineLvl w:val="1"/>
      </w:pPr>
      <w:bookmarkStart w:name="heading_15" w:id="15"/>
      <w:r>
        <w:rPr>
          <w:rFonts w:eastAsia="等线" w:ascii="Arial" w:cs="Arial" w:hAnsi="Arial"/>
          <w:b w:val="true"/>
          <w:sz w:val="32"/>
        </w:rPr>
        <w:t>5.1、收益分析</w:t>
      </w:r>
      <w:bookmarkEnd w:id="15"/>
    </w:p>
    <w:p>
      <w:pPr>
        <w:spacing w:before="120" w:after="120" w:line="288" w:lineRule="auto"/>
        <w:ind w:left="0"/>
        <w:jc w:val="left"/>
      </w:pPr>
      <w:r>
        <w:rPr>
          <w:rFonts w:eastAsia="等线" w:ascii="Arial" w:cs="Arial" w:hAnsi="Arial"/>
          <w:sz w:val="22"/>
        </w:rPr>
        <w:t>返回给前端的数据结构如下：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"premium": 100,                              #前端传的；投入金额</w:t>
              <w:br/>
              <w:t xml:space="preserve">    "premiums": 100,                             #后端计算的投入总金额</w:t>
              <w:br/>
              <w:t xml:space="preserve">    "periods": 1,                                #投入期数</w:t>
              <w:br/>
              <w:t xml:space="preserve">    "periodicUnit": "ALL-IN",                    #投入方式</w:t>
              <w:br/>
              <w:t xml:space="preserve">    "periodic": "0",                             #投入周期时长</w:t>
              <w:br/>
              <w:t xml:space="preserve">    "putInEndTime": "2024-02-02 20:49:17",       #投入截止时间</w:t>
              <w:br/>
              <w:t xml:space="preserve">    "actualGetStartTime": "2048-02-02 20:49:17", #领取开始时间</w:t>
              <w:br/>
              <w:t xml:space="preserve">    "actualGetPeriodicUnit": "MONTH",            #领取频率</w:t>
              <w:br/>
              <w:t xml:space="preserve">    "periodicVos": [                             #每期详情</w:t>
              <w:br/>
              <w:t xml:space="preserve">        {</w:t>
              <w:br/>
              <w:t xml:space="preserve">            "periodic": "第1期",</w:t>
              <w:br/>
              <w:t xml:space="preserve">            "receivedAmount": 0.71000000,</w:t>
              <w:br/>
              <w:t xml:space="preserve">            "actualGetStartTime": "2048-02-02 20:49:17"</w:t>
              <w:br/>
              <w:t xml:space="preserve">        },</w:t>
              <w:br/>
              <w:t xml:space="preserve">        {</w:t>
              <w:br/>
              <w:t xml:space="preserve">            "periodic": "第2期",</w:t>
              <w:br/>
              <w:t xml:space="preserve">            "receivedAmount": 0.71000000,</w:t>
              <w:br/>
              <w:t xml:space="preserve">            "actualGetStartTime": "2048-03-02 20:49:17"</w:t>
              <w:br/>
              <w:t xml:space="preserve">        },</w:t>
              <w:br/>
              <w:t xml:space="preserve">        .....</w:t>
              <w:br/>
              <w:t xml:space="preserve">    ],</w:t>
              <w:br/>
              <w:t xml:space="preserve">    "receivedAmounts": 127.80,                  #领取总金额</w:t>
              <w:br/>
              <w:t xml:space="preserve">    "accumulatedEarnings": 27.80000000,         #累加收益</w:t>
              <w:br/>
              <w:t xml:space="preserve">    "multiple": 1.28                            #累计倍数</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上述所有的数据可以通过如下计算：</w:t>
      </w:r>
    </w:p>
    <w:p>
      <w:pPr>
        <w:spacing w:before="120" w:after="120" w:line="288" w:lineRule="auto"/>
        <w:ind w:left="0"/>
        <w:jc w:val="center"/>
      </w:pPr>
      <w:r>
        <w:drawing>
          <wp:inline distT="0" distR="0" distB="0" distL="0">
            <wp:extent cx="5257800" cy="51054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5105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所以具体分为投入内容、领取内容两部分；接下来针对这两部分进行分析与实现说明。</w:t>
      </w:r>
    </w:p>
    <w:p>
      <w:pPr>
        <w:pStyle w:val="2"/>
        <w:spacing w:before="320" w:after="120" w:line="288" w:lineRule="auto"/>
        <w:ind w:left="0"/>
        <w:jc w:val="left"/>
        <w:outlineLvl w:val="1"/>
      </w:pPr>
      <w:bookmarkStart w:name="heading_16" w:id="16"/>
      <w:r>
        <w:rPr>
          <w:rFonts w:eastAsia="等线" w:ascii="Arial" w:cs="Arial" w:hAnsi="Arial"/>
          <w:b w:val="true"/>
          <w:sz w:val="32"/>
        </w:rPr>
        <w:t>5.2、投入内容</w:t>
      </w:r>
      <w:bookmarkEnd w:id="16"/>
    </w:p>
    <w:p>
      <w:pPr>
        <w:pStyle w:val="3"/>
        <w:spacing w:before="300" w:after="120" w:line="288" w:lineRule="auto"/>
        <w:ind w:left="0"/>
        <w:jc w:val="left"/>
        <w:outlineLvl w:val="2"/>
      </w:pPr>
      <w:bookmarkStart w:name="heading_17" w:id="17"/>
      <w:r>
        <w:rPr>
          <w:rFonts w:eastAsia="等线" w:ascii="Arial" w:cs="Arial" w:hAnsi="Arial"/>
          <w:b w:val="true"/>
          <w:sz w:val="30"/>
        </w:rPr>
        <w:t>5.2.1、分析</w:t>
      </w:r>
      <w:bookmarkEnd w:id="17"/>
    </w:p>
    <w:p>
      <w:pPr>
        <w:spacing w:before="120" w:after="120" w:line="288" w:lineRule="auto"/>
        <w:ind w:left="0"/>
        <w:jc w:val="left"/>
      </w:pPr>
      <w:r>
        <w:rPr>
          <w:rFonts w:eastAsia="等线" w:ascii="Arial" w:cs="Arial" w:hAnsi="Arial"/>
          <w:sz w:val="22"/>
        </w:rPr>
        <w:t>投入内容全部都由前端传入的系数项id决定了；再次说明和查询它的意义在于：</w:t>
      </w:r>
    </w:p>
    <w:p>
      <w:pPr>
        <w:numPr>
          <w:numId w:val="22"/>
        </w:numPr>
        <w:spacing w:before="120" w:after="120" w:line="288" w:lineRule="auto"/>
        <w:ind w:left="0"/>
        <w:jc w:val="left"/>
      </w:pPr>
      <w:r>
        <w:rPr>
          <w:rFonts w:eastAsia="等线" w:ascii="Arial" w:cs="Arial" w:hAnsi="Arial"/>
          <w:sz w:val="22"/>
        </w:rPr>
        <w:t>前端传递过程中数据的安全性问题，所以最好还是根据id到后端查询一遍；</w:t>
      </w:r>
    </w:p>
    <w:p>
      <w:pPr>
        <w:numPr>
          <w:numId w:val="23"/>
        </w:numPr>
        <w:spacing w:before="120" w:after="120" w:line="288" w:lineRule="auto"/>
        <w:ind w:left="0"/>
        <w:jc w:val="left"/>
      </w:pPr>
      <w:r>
        <w:rPr>
          <w:rFonts w:eastAsia="等线" w:ascii="Arial" w:cs="Arial" w:hAnsi="Arial"/>
          <w:sz w:val="22"/>
        </w:rPr>
        <w:t xml:space="preserve">然后返回之后的内容在app端的 </w:t>
      </w:r>
      <w:r>
        <w:rPr>
          <w:rFonts w:eastAsia="Consolas" w:ascii="Consolas" w:cs="Consolas" w:hAnsi="Consolas"/>
          <w:sz w:val="22"/>
          <w:shd w:fill="EFF0F1"/>
        </w:rPr>
        <w:t>领取明细</w:t>
      </w:r>
      <w:r>
        <w:rPr>
          <w:rFonts w:eastAsia="等线" w:ascii="Arial" w:cs="Arial" w:hAnsi="Arial"/>
          <w:sz w:val="22"/>
        </w:rPr>
        <w:t xml:space="preserve"> 中需要展示。</w:t>
      </w:r>
    </w:p>
    <w:p>
      <w:pPr>
        <w:spacing w:before="120" w:after="120" w:line="288" w:lineRule="auto"/>
        <w:ind w:left="0"/>
        <w:jc w:val="center"/>
      </w:pPr>
      <w:r>
        <w:drawing>
          <wp:inline distT="0" distR="0" distB="0" distL="0">
            <wp:extent cx="5257800" cy="17335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257800" cy="1733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50101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5010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所以具体投入内容的获取或者说查询可以如下逻辑：</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24"/>
              </w:numPr>
              <w:spacing w:before="120" w:after="120" w:line="288" w:lineRule="auto"/>
              <w:ind w:left="0"/>
              <w:jc w:val="left"/>
            </w:pPr>
            <w:r>
              <w:rPr>
                <w:rFonts w:eastAsia="等线" w:ascii="Arial" w:cs="Arial" w:hAnsi="Arial"/>
                <w:sz w:val="22"/>
              </w:rPr>
              <w:t>投入内容</w:t>
            </w:r>
          </w:p>
          <w:p>
            <w:pPr>
              <w:numPr>
                <w:numId w:val="25"/>
              </w:numPr>
              <w:spacing w:before="120" w:after="120" w:line="288" w:lineRule="auto"/>
              <w:ind w:left="453"/>
              <w:jc w:val="left"/>
            </w:pPr>
            <w:r>
              <w:rPr>
                <w:rFonts w:eastAsia="等线" w:ascii="Arial" w:cs="Arial" w:hAnsi="Arial"/>
                <w:sz w:val="22"/>
              </w:rPr>
              <w:t>投入时长：默认以年为单位，一次性支付则设置值为0，反之需要拿到投入时长系数获得json字段中的CalculatedVal来进行计算</w:t>
            </w:r>
          </w:p>
          <w:p>
            <w:pPr>
              <w:numPr>
                <w:numId w:val="26"/>
              </w:numPr>
              <w:spacing w:before="120" w:after="120" w:line="288" w:lineRule="auto"/>
              <w:ind w:left="453"/>
              <w:jc w:val="left"/>
            </w:pPr>
            <w:r>
              <w:rPr>
                <w:rFonts w:eastAsia="等线" w:ascii="Arial" w:cs="Arial" w:hAnsi="Arial"/>
                <w:sz w:val="22"/>
              </w:rPr>
              <w:t>投入周期单位：一次性支付则设置值为ALL-IN，反之需要拿到投入周期单位获得json字段中的val来进行计算</w:t>
            </w:r>
          </w:p>
          <w:p>
            <w:pPr>
              <w:numPr>
                <w:numId w:val="27"/>
              </w:numPr>
              <w:spacing w:before="120" w:after="120" w:line="288" w:lineRule="auto"/>
              <w:ind w:left="453"/>
              <w:jc w:val="left"/>
            </w:pPr>
            <w:r>
              <w:rPr>
                <w:rFonts w:eastAsia="等线" w:ascii="Arial" w:cs="Arial" w:hAnsi="Arial"/>
                <w:sz w:val="22"/>
              </w:rPr>
              <w:t>投入总周期数：一次性支付则设置值为1，反之需要通过投入时长X投入频率【年：1，月：12，周：52】来进行计算</w:t>
            </w:r>
          </w:p>
          <w:p>
            <w:pPr>
              <w:numPr>
                <w:numId w:val="28"/>
              </w:numPr>
              <w:spacing w:before="120" w:after="120" w:line="288" w:lineRule="auto"/>
              <w:ind w:left="453"/>
              <w:jc w:val="left"/>
            </w:pPr>
            <w:r>
              <w:rPr>
                <w:rFonts w:eastAsia="等线" w:ascii="Arial" w:cs="Arial" w:hAnsi="Arial"/>
                <w:sz w:val="22"/>
              </w:rPr>
              <w:t>投入总金额：一次性支付则设置为的用户设置的投入价格，反之需要投入总周期数X投入价格来进行计算</w:t>
            </w:r>
          </w:p>
          <w:p>
            <w:pPr>
              <w:numPr>
                <w:numId w:val="29"/>
              </w:numPr>
              <w:spacing w:before="120" w:after="120" w:line="288" w:lineRule="auto"/>
              <w:ind w:left="453"/>
              <w:jc w:val="left"/>
            </w:pPr>
            <w:r>
              <w:rPr>
                <w:rFonts w:eastAsia="等线" w:ascii="Arial" w:cs="Arial" w:hAnsi="Arial"/>
                <w:sz w:val="22"/>
              </w:rPr>
              <w:t>投入结束时间：当前时间按照投入时长向后顺延计算得出</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流程展示如下：</w:t>
      </w:r>
    </w:p>
    <w:p>
      <w:pPr>
        <w:spacing w:before="120" w:after="120" w:line="288" w:lineRule="auto"/>
        <w:ind w:left="0"/>
        <w:jc w:val="center"/>
      </w:pPr>
      <w:r>
        <w:drawing>
          <wp:inline distT="0" distR="0" distB="0" distL="0">
            <wp:extent cx="5257800" cy="37719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257800" cy="3771900"/>
                    </a:xfrm>
                    <a:prstGeom prst="rect">
                      <a:avLst/>
                    </a:prstGeom>
                  </pic:spPr>
                </pic:pic>
              </a:graphicData>
            </a:graphic>
          </wp:inline>
        </w:drawing>
      </w:r>
    </w:p>
    <w:p>
      <w:pPr>
        <w:pStyle w:val="3"/>
        <w:spacing w:before="300" w:after="120" w:line="288" w:lineRule="auto"/>
        <w:ind w:left="0"/>
        <w:jc w:val="left"/>
        <w:outlineLvl w:val="2"/>
      </w:pPr>
      <w:bookmarkStart w:name="heading_18" w:id="18"/>
      <w:r>
        <w:rPr>
          <w:rFonts w:eastAsia="等线" w:ascii="Arial" w:cs="Arial" w:hAnsi="Arial"/>
          <w:b w:val="true"/>
          <w:sz w:val="30"/>
        </w:rPr>
        <w:t>5.2.2、实现</w:t>
      </w:r>
      <w:bookmarkEnd w:id="18"/>
    </w:p>
    <w:p>
      <w:pPr>
        <w:spacing w:before="120" w:after="120" w:line="288" w:lineRule="auto"/>
        <w:ind w:left="0"/>
        <w:jc w:val="center"/>
      </w:pPr>
      <w:r>
        <w:drawing>
          <wp:inline distT="0" distR="0" distB="0" distL="0">
            <wp:extent cx="5257800" cy="18573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1857375"/>
                    </a:xfrm>
                    <a:prstGeom prst="rect">
                      <a:avLst/>
                    </a:prstGeom>
                  </pic:spPr>
                </pic:pic>
              </a:graphicData>
            </a:graphic>
          </wp:inline>
        </w:drawing>
      </w:r>
    </w:p>
    <w:p>
      <w:pPr>
        <w:spacing w:before="120" w:after="120" w:line="288" w:lineRule="auto"/>
        <w:ind w:left="0"/>
        <w:jc w:val="center"/>
      </w:pPr>
      <w:r>
        <w:drawing>
          <wp:inline distT="0" distR="0" distB="0" distL="0">
            <wp:extent cx="5257800" cy="26384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2638425"/>
                    </a:xfrm>
                    <a:prstGeom prst="rect">
                      <a:avLst/>
                    </a:prstGeom>
                  </pic:spPr>
                </pic:pic>
              </a:graphicData>
            </a:graphic>
          </wp:inline>
        </w:drawing>
      </w:r>
    </w:p>
    <w:p>
      <w:pPr>
        <w:pStyle w:val="2"/>
        <w:spacing w:before="320" w:after="120" w:line="288" w:lineRule="auto"/>
        <w:ind w:left="0"/>
        <w:jc w:val="left"/>
        <w:outlineLvl w:val="1"/>
      </w:pPr>
      <w:bookmarkStart w:name="heading_19" w:id="19"/>
      <w:r>
        <w:rPr>
          <w:rFonts w:eastAsia="等线" w:ascii="Arial" w:cs="Arial" w:hAnsi="Arial"/>
          <w:b w:val="true"/>
          <w:sz w:val="32"/>
        </w:rPr>
        <w:t>5.3、领取内容</w:t>
      </w:r>
      <w:bookmarkEnd w:id="19"/>
    </w:p>
    <w:p>
      <w:pPr>
        <w:pStyle w:val="3"/>
        <w:spacing w:before="300" w:after="120" w:line="288" w:lineRule="auto"/>
        <w:ind w:left="0"/>
        <w:jc w:val="left"/>
        <w:outlineLvl w:val="2"/>
      </w:pPr>
      <w:bookmarkStart w:name="heading_20" w:id="20"/>
      <w:r>
        <w:rPr>
          <w:rFonts w:eastAsia="等线" w:ascii="Arial" w:cs="Arial" w:hAnsi="Arial"/>
          <w:b w:val="true"/>
          <w:sz w:val="30"/>
        </w:rPr>
        <w:t>5.3.1、分析</w:t>
      </w:r>
      <w:bookmarkEnd w:id="20"/>
    </w:p>
    <w:p>
      <w:pPr>
        <w:spacing w:before="120" w:after="120" w:line="288" w:lineRule="auto"/>
        <w:ind w:left="0"/>
        <w:jc w:val="left"/>
      </w:pPr>
      <w:r>
        <w:rPr>
          <w:rFonts w:eastAsia="等线" w:ascii="Arial" w:cs="Arial" w:hAnsi="Arial"/>
          <w:sz w:val="22"/>
        </w:rPr>
        <w:t>界面中需要展示领取的内容：</w:t>
      </w:r>
    </w:p>
    <w:p>
      <w:pPr>
        <w:spacing w:before="120" w:after="120" w:line="288" w:lineRule="auto"/>
        <w:ind w:left="0"/>
        <w:jc w:val="center"/>
      </w:pPr>
      <w:r>
        <w:drawing>
          <wp:inline distT="0" distR="0" distB="0" distL="0">
            <wp:extent cx="5257800" cy="375285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3752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分析领取内容的计算如下：</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30"/>
              </w:numPr>
              <w:spacing w:before="120" w:after="120" w:line="288" w:lineRule="auto"/>
              <w:ind w:left="0"/>
              <w:jc w:val="left"/>
            </w:pPr>
            <w:r>
              <w:rPr>
                <w:rFonts w:eastAsia="等线" w:ascii="Arial" w:cs="Arial" w:hAnsi="Arial"/>
                <w:sz w:val="22"/>
              </w:rPr>
              <w:t>领取内容</w:t>
            </w:r>
          </w:p>
          <w:p>
            <w:pPr>
              <w:numPr>
                <w:numId w:val="31"/>
              </w:numPr>
              <w:spacing w:before="120" w:after="120" w:line="288" w:lineRule="auto"/>
              <w:ind w:left="453"/>
              <w:jc w:val="left"/>
            </w:pPr>
            <w:r>
              <w:rPr>
                <w:rFonts w:eastAsia="等线" w:ascii="Arial" w:cs="Arial" w:hAnsi="Arial"/>
                <w:sz w:val="22"/>
              </w:rPr>
              <w:t>领取周期单位：拿到领取周期系数获得json字段中的val</w:t>
            </w:r>
          </w:p>
          <w:p>
            <w:pPr>
              <w:numPr>
                <w:numId w:val="32"/>
              </w:numPr>
              <w:spacing w:before="120" w:after="120" w:line="288" w:lineRule="auto"/>
              <w:ind w:left="453"/>
              <w:jc w:val="left"/>
            </w:pPr>
            <w:r>
              <w:rPr>
                <w:rFonts w:eastAsia="等线" w:ascii="Arial" w:cs="Arial" w:hAnsi="Arial"/>
                <w:sz w:val="22"/>
              </w:rPr>
              <w:t>领取起始时间：拿到领取起始时间系数获得json字段中的unit单位，判断是多少年后领取，还是多少岁开始领取，然后再解析json中的val,当前时间按json中的val向后顺延</w:t>
            </w:r>
          </w:p>
          <w:p>
            <w:pPr>
              <w:numPr>
                <w:numId w:val="33"/>
              </w:numPr>
              <w:spacing w:before="120" w:after="120" w:line="288" w:lineRule="auto"/>
              <w:ind w:left="453"/>
              <w:jc w:val="left"/>
            </w:pPr>
            <w:r>
              <w:rPr>
                <w:rFonts w:eastAsia="等线" w:ascii="Arial" w:cs="Arial" w:hAnsi="Arial"/>
                <w:sz w:val="22"/>
              </w:rPr>
              <w:t>领取计划：在理财保险发布时，我们会设置固定领取【领N年，机会有1.....N的期数】终身领取【默认150岁】X领取周期来形成领取计划</w:t>
            </w:r>
          </w:p>
        </w:tc>
      </w:tr>
    </w:tbl>
    <w:p>
      <w:pPr>
        <w:spacing w:before="120" w:after="120" w:line="288" w:lineRule="auto"/>
        <w:ind w:left="0"/>
        <w:jc w:val="left"/>
      </w:pPr>
      <w:r>
        <w:rPr>
          <w:rFonts w:eastAsia="等线" w:ascii="Arial" w:cs="Arial" w:hAnsi="Arial"/>
          <w:sz w:val="22"/>
        </w:rPr>
        <w:t>流程展示如下：</w:t>
      </w:r>
    </w:p>
    <w:p>
      <w:pPr>
        <w:spacing w:before="120" w:after="120" w:line="288" w:lineRule="auto"/>
        <w:ind w:left="0"/>
        <w:jc w:val="center"/>
      </w:pPr>
      <w:r>
        <w:drawing>
          <wp:inline distT="0" distR="0" distB="0" distL="0">
            <wp:extent cx="5257800" cy="37719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7"/>
                    <a:stretch>
                      <a:fillRect/>
                    </a:stretch>
                  </pic:blipFill>
                  <pic:spPr>
                    <a:xfrm>
                      <a:off x="0" y="0"/>
                      <a:ext cx="5257800" cy="3771900"/>
                    </a:xfrm>
                    <a:prstGeom prst="rect">
                      <a:avLst/>
                    </a:prstGeom>
                  </pic:spPr>
                </pic:pic>
              </a:graphicData>
            </a:graphic>
          </wp:inline>
        </w:drawing>
      </w:r>
    </w:p>
    <w:p>
      <w:pPr>
        <w:pStyle w:val="3"/>
        <w:spacing w:before="300" w:after="120" w:line="288" w:lineRule="auto"/>
        <w:ind w:left="0"/>
        <w:jc w:val="left"/>
        <w:outlineLvl w:val="2"/>
      </w:pPr>
      <w:bookmarkStart w:name="heading_21" w:id="21"/>
      <w:r>
        <w:rPr>
          <w:rFonts w:eastAsia="等线" w:ascii="Arial" w:cs="Arial" w:hAnsi="Arial"/>
          <w:b w:val="true"/>
          <w:sz w:val="30"/>
        </w:rPr>
        <w:t>5.3.2、实现</w:t>
      </w:r>
      <w:bookmarkEnd w:id="21"/>
    </w:p>
    <w:p>
      <w:pPr>
        <w:spacing w:before="120" w:after="120" w:line="288" w:lineRule="auto"/>
        <w:ind w:left="0"/>
        <w:jc w:val="center"/>
      </w:pPr>
      <w:r>
        <w:drawing>
          <wp:inline distT="0" distR="0" distB="0" distL="0">
            <wp:extent cx="5257800" cy="27527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1"/>
                    <a:stretch>
                      <a:fillRect/>
                    </a:stretch>
                  </pic:blipFill>
                  <pic:spPr>
                    <a:xfrm>
                      <a:off x="0" y="0"/>
                      <a:ext cx="5257800" cy="2752725"/>
                    </a:xfrm>
                    <a:prstGeom prst="rect">
                      <a:avLst/>
                    </a:prstGeom>
                  </pic:spPr>
                </pic:pic>
              </a:graphicData>
            </a:graphic>
          </wp:inline>
        </w:drawing>
      </w:r>
    </w:p>
    <w:p>
      <w:pPr>
        <w:pStyle w:val="1"/>
        <w:spacing w:before="380" w:after="140" w:line="288" w:lineRule="auto"/>
        <w:ind w:left="0"/>
        <w:jc w:val="left"/>
        <w:outlineLvl w:val="0"/>
      </w:pPr>
      <w:bookmarkStart w:name="heading_22" w:id="22"/>
      <w:r>
        <w:rPr>
          <w:rFonts w:eastAsia="等线" w:ascii="Arial" w:cs="Arial" w:hAnsi="Arial"/>
          <w:b w:val="true"/>
          <w:sz w:val="36"/>
        </w:rPr>
        <w:t>6、问题</w:t>
      </w:r>
      <w:bookmarkEnd w:id="22"/>
    </w:p>
    <w:p>
      <w:pPr>
        <w:numPr>
          <w:numId w:val="34"/>
        </w:numPr>
        <w:spacing w:before="120" w:after="120" w:line="288" w:lineRule="auto"/>
        <w:ind w:left="0"/>
        <w:jc w:val="left"/>
      </w:pPr>
      <w:r>
        <w:rPr>
          <w:rFonts w:eastAsia="等线" w:ascii="Arial" w:cs="Arial" w:hAnsi="Arial"/>
          <w:sz w:val="22"/>
        </w:rPr>
        <w:t>理财类保险产品有哪些？</w:t>
      </w:r>
    </w:p>
    <w:p>
      <w:pPr>
        <w:numPr>
          <w:numId w:val="35"/>
        </w:numPr>
        <w:spacing w:before="120" w:after="120" w:line="288" w:lineRule="auto"/>
        <w:ind w:left="0"/>
        <w:jc w:val="left"/>
      </w:pPr>
      <w:r>
        <w:rPr>
          <w:rFonts w:eastAsia="等线" w:ascii="Arial" w:cs="Arial" w:hAnsi="Arial"/>
          <w:sz w:val="22"/>
        </w:rPr>
        <w:t>说一下投保试算的流程？</w:t>
      </w:r>
    </w:p>
    <w:p>
      <w:pPr>
        <w:numPr>
          <w:numId w:val="36"/>
        </w:numPr>
        <w:spacing w:before="120" w:after="120" w:line="288" w:lineRule="auto"/>
        <w:ind w:left="0"/>
        <w:jc w:val="left"/>
      </w:pPr>
      <w:r>
        <w:rPr>
          <w:rFonts w:eastAsia="等线" w:ascii="Arial" w:cs="Arial" w:hAnsi="Arial"/>
          <w:b w:val="true"/>
          <w:sz w:val="22"/>
        </w:rPr>
        <w:t>简历职责-候选</w:t>
      </w:r>
      <w:r>
        <w:rPr>
          <w:rFonts w:eastAsia="等线" w:ascii="Arial" w:cs="Arial" w:hAnsi="Arial"/>
          <w:sz w:val="22"/>
        </w:rPr>
        <w:t>：独立完成在app端中用户选择理财类保险产品保险方案及系数项之后的收益试算功能；</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源码阅读实战</w:t>
      </w:r>
      <w:r>
        <w:rPr>
          <w:rFonts w:eastAsia="等线" w:ascii="Arial" w:cs="Arial" w:hAnsi="Arial"/>
          <w:sz w:val="22"/>
        </w:rPr>
        <w:t>：</w:t>
      </w:r>
    </w:p>
    <w:p>
      <w:pPr>
        <w:spacing w:before="120" w:after="120" w:line="288" w:lineRule="auto"/>
        <w:ind w:left="0"/>
        <w:jc w:val="left"/>
      </w:pPr>
      <w:r>
        <w:rPr>
          <w:rFonts w:eastAsia="等线" w:ascii="Arial" w:cs="Arial" w:hAnsi="Arial"/>
          <w:sz w:val="22"/>
        </w:rPr>
        <w:t>时间：16点</w:t>
      </w:r>
    </w:p>
    <w:p>
      <w:pPr>
        <w:spacing w:before="120" w:after="120" w:line="288" w:lineRule="auto"/>
        <w:ind w:left="0"/>
        <w:jc w:val="left"/>
      </w:pPr>
      <w:r>
        <w:rPr>
          <w:rFonts w:eastAsia="等线" w:ascii="Arial" w:cs="Arial" w:hAnsi="Arial"/>
          <w:sz w:val="22"/>
        </w:rPr>
        <w:t>内容：</w:t>
      </w:r>
    </w:p>
    <w:p>
      <w:pPr>
        <w:numPr>
          <w:numId w:val="37"/>
        </w:numPr>
        <w:spacing w:before="120" w:after="120" w:line="288" w:lineRule="auto"/>
        <w:ind w:left="0"/>
        <w:jc w:val="left"/>
      </w:pPr>
      <w:r>
        <w:rPr>
          <w:rFonts w:eastAsia="等线" w:ascii="Arial" w:cs="Arial" w:hAnsi="Arial"/>
          <w:sz w:val="22"/>
        </w:rPr>
        <w:t>流程图；每组一人上来讲解理财类的投保试算流程</w:t>
      </w:r>
    </w:p>
    <w:p>
      <w:pPr>
        <w:numPr>
          <w:numId w:val="38"/>
        </w:numPr>
        <w:spacing w:before="120" w:after="120" w:line="288" w:lineRule="auto"/>
        <w:ind w:left="0"/>
        <w:jc w:val="left"/>
      </w:pPr>
      <w:r>
        <w:rPr>
          <w:rFonts w:eastAsia="等线" w:ascii="Arial" w:cs="Arial" w:hAnsi="Arial"/>
          <w:sz w:val="22"/>
        </w:rPr>
        <w:t>在投保试算的过程中涉及的SQL语句</w:t>
      </w:r>
    </w:p>
    <w:p>
      <w:pPr>
        <w:numPr>
          <w:numId w:val="39"/>
        </w:numPr>
        <w:spacing w:before="120" w:after="120" w:line="288" w:lineRule="auto"/>
        <w:ind w:left="0"/>
        <w:jc w:val="left"/>
      </w:pPr>
      <w:r>
        <w:rPr>
          <w:rFonts w:eastAsia="等线" w:ascii="Arial" w:cs="Arial" w:hAnsi="Arial"/>
          <w:sz w:val="22"/>
        </w:rPr>
        <w:t>讲说如下方法</w:t>
      </w:r>
    </w:p>
    <w:p>
      <w:pPr>
        <w:numPr>
          <w:numId w:val="40"/>
        </w:numPr>
        <w:spacing w:before="120" w:after="120" w:line="288" w:lineRule="auto"/>
        <w:ind w:left="453"/>
        <w:jc w:val="left"/>
      </w:pPr>
      <w:r>
        <w:rPr>
          <w:rFonts w:eastAsia="等线" w:ascii="Arial" w:cs="Arial" w:hAnsi="Arial"/>
          <w:sz w:val="22"/>
        </w:rPr>
        <w:t>1、com.itheima.sfbx.insurance.handler.impl.EarningsInsureHandler#doInsure中的第68行</w:t>
      </w:r>
    </w:p>
    <w:p>
      <w:pPr>
        <w:spacing w:before="120" w:after="120" w:line="288" w:lineRule="auto"/>
        <w:ind w:left="453"/>
        <w:jc w:val="center"/>
      </w:pPr>
      <w:r>
        <w:drawing>
          <wp:inline distT="0" distR="0" distB="0" distL="0">
            <wp:extent cx="5153025" cy="16859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2"/>
                    <a:stretch>
                      <a:fillRect/>
                    </a:stretch>
                  </pic:blipFill>
                  <pic:spPr>
                    <a:xfrm>
                      <a:off x="0" y="0"/>
                      <a:ext cx="5153025" cy="1685925"/>
                    </a:xfrm>
                    <a:prstGeom prst="rect">
                      <a:avLst/>
                    </a:prstGeom>
                  </pic:spPr>
                </pic:pic>
              </a:graphicData>
            </a:graphic>
          </wp:inline>
        </w:drawing>
      </w:r>
    </w:p>
    <w:p>
      <w:pPr>
        <w:numPr>
          <w:numId w:val="41"/>
        </w:numPr>
        <w:spacing w:before="120" w:after="120" w:line="288" w:lineRule="auto"/>
        <w:ind w:left="453"/>
        <w:jc w:val="left"/>
      </w:pPr>
      <w:r>
        <w:rPr>
          <w:rFonts w:eastAsia="等线" w:ascii="Arial" w:cs="Arial" w:hAnsi="Arial"/>
          <w:sz w:val="22"/>
        </w:rPr>
        <w:t>2、com.itheima.sfbx.insurance.handler.impl.EarningsInsureHandler#doInsure中的第73行</w:t>
      </w:r>
    </w:p>
    <w:p>
      <w:pPr>
        <w:spacing w:before="120" w:after="120" w:line="288" w:lineRule="auto"/>
        <w:ind w:left="453"/>
        <w:jc w:val="center"/>
      </w:pPr>
      <w:r>
        <w:drawing>
          <wp:inline distT="0" distR="0" distB="0" distL="0">
            <wp:extent cx="5133975" cy="178117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3"/>
                    <a:stretch>
                      <a:fillRect/>
                    </a:stretch>
                  </pic:blipFill>
                  <pic:spPr>
                    <a:xfrm>
                      <a:off x="0" y="0"/>
                      <a:ext cx="5133975" cy="1781175"/>
                    </a:xfrm>
                    <a:prstGeom prst="rect">
                      <a:avLst/>
                    </a:prstGeom>
                  </pic:spPr>
                </pic:pic>
              </a:graphicData>
            </a:graphic>
          </wp:inline>
        </w:drawing>
      </w:r>
    </w:p>
    <w:p>
      <w:pPr>
        <w:numPr>
          <w:numId w:val="42"/>
        </w:numPr>
        <w:spacing w:before="120" w:after="120" w:line="288" w:lineRule="auto"/>
        <w:ind w:left="453"/>
        <w:jc w:val="left"/>
      </w:pPr>
      <w:r>
        <w:rPr>
          <w:rFonts w:eastAsia="等线" w:ascii="Arial" w:cs="Arial" w:hAnsi="Arial"/>
          <w:sz w:val="22"/>
        </w:rPr>
        <w:t>3、com.itheima.sfbx.insurance.handler.impl.EarningsInsureHandler#doInsure中的第79行</w:t>
      </w:r>
    </w:p>
    <w:p>
      <w:pPr>
        <w:spacing w:before="120" w:after="120" w:line="288" w:lineRule="auto"/>
        <w:ind w:left="453"/>
        <w:jc w:val="center"/>
      </w:pPr>
      <w:r>
        <w:drawing>
          <wp:inline distT="0" distR="0" distB="0" distL="0">
            <wp:extent cx="5114925" cy="18192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4"/>
                    <a:stretch>
                      <a:fillRect/>
                    </a:stretch>
                  </pic:blipFill>
                  <pic:spPr>
                    <a:xfrm>
                      <a:off x="0" y="0"/>
                      <a:ext cx="5114925" cy="1819275"/>
                    </a:xfrm>
                    <a:prstGeom prst="rect">
                      <a:avLst/>
                    </a:prstGeom>
                  </pic:spPr>
                </pic:pic>
              </a:graphicData>
            </a:graphic>
          </wp:inline>
        </w:drawing>
      </w:r>
    </w:p>
    <w:p>
      <w:pPr>
        <w:numPr>
          <w:numId w:val="43"/>
        </w:numPr>
        <w:spacing w:before="120" w:after="120" w:line="288" w:lineRule="auto"/>
        <w:ind w:left="453"/>
        <w:jc w:val="left"/>
      </w:pPr>
      <w:r>
        <w:rPr>
          <w:rFonts w:eastAsia="等线" w:ascii="Arial" w:cs="Arial" w:hAnsi="Arial"/>
          <w:sz w:val="22"/>
        </w:rPr>
        <w:t>4、com.itheima.sfbx.insurance.handler.impl.BaseProcessHandler#earningsCompute 中的第402 - 429行</w:t>
      </w:r>
    </w:p>
    <w:p>
      <w:pPr>
        <w:spacing w:before="120" w:after="120" w:line="288" w:lineRule="auto"/>
        <w:ind w:left="453"/>
        <w:jc w:val="center"/>
      </w:pPr>
      <w:r>
        <w:drawing>
          <wp:inline distT="0" distR="0" distB="0" distL="0">
            <wp:extent cx="4886325" cy="36290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5"/>
                    <a:stretch>
                      <a:fillRect/>
                    </a:stretch>
                  </pic:blipFill>
                  <pic:spPr>
                    <a:xfrm>
                      <a:off x="0" y="0"/>
                      <a:ext cx="4886325" cy="3629025"/>
                    </a:xfrm>
                    <a:prstGeom prst="rect">
                      <a:avLst/>
                    </a:prstGeom>
                  </pic:spPr>
                </pic:pic>
              </a:graphicData>
            </a:graphic>
          </wp:inline>
        </w:drawing>
      </w:r>
    </w:p>
    <w:p>
      <w:pPr>
        <w:numPr>
          <w:numId w:val="44"/>
        </w:numPr>
        <w:spacing w:before="120" w:after="120" w:line="288" w:lineRule="auto"/>
        <w:ind w:left="453"/>
        <w:jc w:val="left"/>
      </w:pPr>
      <w:r>
        <w:rPr>
          <w:rFonts w:eastAsia="等线" w:ascii="Arial" w:cs="Arial" w:hAnsi="Arial"/>
          <w:sz w:val="22"/>
        </w:rPr>
        <w:t>5、com.itheima.sfbx.insurance.handler.impl.BaseProcessHandler#periodicVos 中的第484行终身领取</w:t>
      </w:r>
    </w:p>
    <w:p>
      <w:pPr>
        <w:spacing w:before="120" w:after="120" w:line="288" w:lineRule="auto"/>
        <w:ind w:left="453"/>
        <w:jc w:val="center"/>
      </w:pPr>
      <w:r>
        <w:drawing>
          <wp:inline distT="0" distR="0" distB="0" distL="0">
            <wp:extent cx="4943475" cy="391477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6"/>
                    <a:stretch>
                      <a:fillRect/>
                    </a:stretch>
                  </pic:blipFill>
                  <pic:spPr>
                    <a:xfrm>
                      <a:off x="0" y="0"/>
                      <a:ext cx="4943475" cy="3914775"/>
                    </a:xfrm>
                    <a:prstGeom prst="rect">
                      <a:avLst/>
                    </a:prstGeom>
                  </pic:spPr>
                </pic:pic>
              </a:graphicData>
            </a:graphic>
          </wp:inline>
        </w:drawing>
      </w:r>
    </w:p>
    <w:p>
      <w:pPr>
        <w:numPr>
          <w:numId w:val="45"/>
        </w:numPr>
        <w:spacing w:before="120" w:after="120" w:line="288" w:lineRule="auto"/>
        <w:ind w:left="453"/>
        <w:jc w:val="left"/>
      </w:pPr>
      <w:r>
        <w:rPr>
          <w:rFonts w:eastAsia="等线" w:ascii="Arial" w:cs="Arial" w:hAnsi="Arial"/>
          <w:sz w:val="22"/>
        </w:rPr>
        <w:t>6、com.itheima.sfbx.insurance.handler.impl.BaseProcessHandler#periodicVos 中的第541行固定领取</w:t>
      </w:r>
    </w:p>
    <w:p>
      <w:pPr>
        <w:spacing w:before="120" w:after="120" w:line="288" w:lineRule="auto"/>
        <w:ind w:left="453"/>
        <w:jc w:val="center"/>
      </w:pPr>
      <w:r>
        <w:drawing>
          <wp:inline distT="0" distR="0" distB="0" distL="0">
            <wp:extent cx="4905375" cy="21240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7"/>
                    <a:stretch>
                      <a:fillRect/>
                    </a:stretch>
                  </pic:blipFill>
                  <pic:spPr>
                    <a:xfrm>
                      <a:off x="0" y="0"/>
                      <a:ext cx="49053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人员：每组最多2个人上台演讲</w:t>
      </w:r>
    </w:p>
    <w:p>
      <w:pPr>
        <w:spacing w:before="120" w:after="120" w:line="288" w:lineRule="auto"/>
        <w:ind w:left="0"/>
        <w:jc w:val="left"/>
      </w:pPr>
    </w:p>
    <w:sectPr>
      <w:footerReference w:type="default" r:id="rId3"/>
      <w:headerReference w:type="default" r:id="rId38"/>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76495">
    <w:lvl>
      <w:numFmt w:val="bullet"/>
      <w:suff w:val="tab"/>
      <w:lvlText w:val="•"/>
      <w:rPr>
        <w:color w:val="3370ff"/>
      </w:rPr>
    </w:lvl>
  </w:abstractNum>
  <w:abstractNum w:abstractNumId="176496">
    <w:lvl>
      <w:numFmt w:val="bullet"/>
      <w:suff w:val="tab"/>
      <w:lvlText w:val="•"/>
      <w:rPr>
        <w:color w:val="3370ff"/>
      </w:rPr>
    </w:lvl>
  </w:abstractNum>
  <w:abstractNum w:abstractNumId="176497">
    <w:lvl>
      <w:numFmt w:val="bullet"/>
      <w:suff w:val="tab"/>
      <w:lvlText w:val="•"/>
      <w:rPr>
        <w:color w:val="3370ff"/>
      </w:rPr>
    </w:lvl>
  </w:abstractNum>
  <w:abstractNum w:abstractNumId="176498">
    <w:lvl>
      <w:numFmt w:val="bullet"/>
      <w:suff w:val="tab"/>
      <w:lvlText w:val="•"/>
      <w:rPr>
        <w:color w:val="3370ff"/>
      </w:rPr>
    </w:lvl>
  </w:abstractNum>
  <w:abstractNum w:abstractNumId="176499">
    <w:lvl>
      <w:numFmt w:val="bullet"/>
      <w:suff w:val="tab"/>
      <w:lvlText w:val="•"/>
      <w:rPr>
        <w:color w:val="3370ff"/>
      </w:rPr>
    </w:lvl>
  </w:abstractNum>
  <w:abstractNum w:abstractNumId="176500">
    <w:lvl>
      <w:numFmt w:val="bullet"/>
      <w:suff w:val="tab"/>
      <w:lvlText w:val="•"/>
      <w:rPr>
        <w:color w:val="3370ff"/>
      </w:rPr>
    </w:lvl>
  </w:abstractNum>
  <w:abstractNum w:abstractNumId="176501">
    <w:lvl>
      <w:numFmt w:val="bullet"/>
      <w:suff w:val="tab"/>
      <w:lvlText w:val="•"/>
      <w:rPr>
        <w:color w:val="3370ff"/>
      </w:rPr>
    </w:lvl>
  </w:abstractNum>
  <w:abstractNum w:abstractNumId="176502">
    <w:lvl>
      <w:numFmt w:val="bullet"/>
      <w:suff w:val="tab"/>
      <w:lvlText w:val="•"/>
      <w:rPr>
        <w:color w:val="3370ff"/>
      </w:rPr>
    </w:lvl>
  </w:abstractNum>
  <w:abstractNum w:abstractNumId="176503">
    <w:lvl>
      <w:numFmt w:val="bullet"/>
      <w:suff w:val="tab"/>
      <w:lvlText w:val="•"/>
      <w:rPr>
        <w:color w:val="3370ff"/>
      </w:rPr>
    </w:lvl>
  </w:abstractNum>
  <w:abstractNum w:abstractNumId="176504">
    <w:lvl>
      <w:numFmt w:val="bullet"/>
      <w:suff w:val="tab"/>
      <w:lvlText w:val="•"/>
      <w:rPr>
        <w:color w:val="3370ff"/>
      </w:rPr>
    </w:lvl>
  </w:abstractNum>
  <w:abstractNum w:abstractNumId="176505">
    <w:lvl>
      <w:numFmt w:val="bullet"/>
      <w:suff w:val="tab"/>
      <w:lvlText w:val="•"/>
      <w:rPr>
        <w:color w:val="3370ff"/>
      </w:rPr>
    </w:lvl>
  </w:abstractNum>
  <w:abstractNum w:abstractNumId="176506">
    <w:lvl>
      <w:numFmt w:val="bullet"/>
      <w:suff w:val="tab"/>
      <w:lvlText w:val="•"/>
      <w:rPr>
        <w:color w:val="3370ff"/>
      </w:rPr>
    </w:lvl>
  </w:abstractNum>
  <w:abstractNum w:abstractNumId="176507">
    <w:lvl>
      <w:numFmt w:val="bullet"/>
      <w:suff w:val="tab"/>
      <w:lvlText w:val="•"/>
      <w:rPr>
        <w:color w:val="3370ff"/>
      </w:rPr>
    </w:lvl>
  </w:abstractNum>
  <w:abstractNum w:abstractNumId="176508">
    <w:lvl>
      <w:numFmt w:val="bullet"/>
      <w:suff w:val="tab"/>
      <w:lvlText w:val="￮"/>
      <w:rPr>
        <w:color w:val="3370ff"/>
      </w:rPr>
    </w:lvl>
  </w:abstractNum>
  <w:abstractNum w:abstractNumId="176509">
    <w:lvl>
      <w:numFmt w:val="bullet"/>
      <w:suff w:val="tab"/>
      <w:lvlText w:val="￮"/>
      <w:rPr>
        <w:color w:val="3370ff"/>
      </w:rPr>
    </w:lvl>
  </w:abstractNum>
  <w:abstractNum w:abstractNumId="176510">
    <w:lvl>
      <w:numFmt w:val="bullet"/>
      <w:suff w:val="tab"/>
      <w:lvlText w:val="￮"/>
      <w:rPr>
        <w:color w:val="3370ff"/>
      </w:rPr>
    </w:lvl>
  </w:abstractNum>
  <w:abstractNum w:abstractNumId="176511">
    <w:lvl>
      <w:numFmt w:val="bullet"/>
      <w:suff w:val="tab"/>
      <w:lvlText w:val="￮"/>
      <w:rPr>
        <w:color w:val="3370ff"/>
      </w:rPr>
    </w:lvl>
  </w:abstractNum>
  <w:abstractNum w:abstractNumId="176512">
    <w:lvl>
      <w:numFmt w:val="bullet"/>
      <w:suff w:val="tab"/>
      <w:lvlText w:val="▪"/>
      <w:rPr>
        <w:color w:val="3370ff"/>
        <w:sz w:val="11"/>
      </w:rPr>
    </w:lvl>
  </w:abstractNum>
  <w:abstractNum w:abstractNumId="176513">
    <w:lvl>
      <w:numFmt w:val="bullet"/>
      <w:suff w:val="tab"/>
      <w:lvlText w:val="▪"/>
      <w:rPr>
        <w:color w:val="3370ff"/>
        <w:sz w:val="11"/>
      </w:rPr>
    </w:lvl>
  </w:abstractNum>
  <w:abstractNum w:abstractNumId="176514">
    <w:lvl>
      <w:numFmt w:val="bullet"/>
      <w:suff w:val="tab"/>
      <w:lvlText w:val="•"/>
      <w:rPr>
        <w:color w:val="3370ff"/>
      </w:rPr>
    </w:lvl>
  </w:abstractNum>
  <w:abstractNum w:abstractNumId="176515">
    <w:lvl>
      <w:numFmt w:val="bullet"/>
      <w:suff w:val="tab"/>
      <w:lvlText w:val="•"/>
      <w:rPr>
        <w:color w:val="3370ff"/>
      </w:rPr>
    </w:lvl>
  </w:abstractNum>
  <w:abstractNum w:abstractNumId="176516">
    <w:lvl>
      <w:numFmt w:val="bullet"/>
      <w:suff w:val="tab"/>
      <w:lvlText w:val="•"/>
      <w:rPr>
        <w:color w:val="3370ff"/>
      </w:rPr>
    </w:lvl>
  </w:abstractNum>
  <w:abstractNum w:abstractNumId="176517">
    <w:lvl>
      <w:numFmt w:val="bullet"/>
      <w:suff w:val="tab"/>
      <w:lvlText w:val="•"/>
      <w:rPr>
        <w:color w:val="3370ff"/>
      </w:rPr>
    </w:lvl>
  </w:abstractNum>
  <w:abstractNum w:abstractNumId="176518">
    <w:lvl>
      <w:numFmt w:val="bullet"/>
      <w:suff w:val="tab"/>
      <w:lvlText w:val="•"/>
      <w:rPr>
        <w:color w:val="3370ff"/>
      </w:rPr>
    </w:lvl>
  </w:abstractNum>
  <w:abstractNum w:abstractNumId="176519">
    <w:lvl>
      <w:numFmt w:val="bullet"/>
      <w:suff w:val="tab"/>
      <w:lvlText w:val="￮"/>
      <w:rPr>
        <w:color w:val="3370ff"/>
      </w:rPr>
    </w:lvl>
  </w:abstractNum>
  <w:abstractNum w:abstractNumId="176520">
    <w:lvl>
      <w:numFmt w:val="bullet"/>
      <w:suff w:val="tab"/>
      <w:lvlText w:val="￮"/>
      <w:rPr>
        <w:color w:val="3370ff"/>
      </w:rPr>
    </w:lvl>
  </w:abstractNum>
  <w:abstractNum w:abstractNumId="176521">
    <w:lvl>
      <w:numFmt w:val="bullet"/>
      <w:suff w:val="tab"/>
      <w:lvlText w:val="￮"/>
      <w:rPr>
        <w:color w:val="3370ff"/>
      </w:rPr>
    </w:lvl>
  </w:abstractNum>
  <w:abstractNum w:abstractNumId="176522">
    <w:lvl>
      <w:numFmt w:val="bullet"/>
      <w:suff w:val="tab"/>
      <w:lvlText w:val="￮"/>
      <w:rPr>
        <w:color w:val="3370ff"/>
      </w:rPr>
    </w:lvl>
  </w:abstractNum>
  <w:abstractNum w:abstractNumId="176523">
    <w:lvl>
      <w:numFmt w:val="bullet"/>
      <w:suff w:val="tab"/>
      <w:lvlText w:val="￮"/>
      <w:rPr>
        <w:color w:val="3370ff"/>
      </w:rPr>
    </w:lvl>
  </w:abstractNum>
  <w:abstractNum w:abstractNumId="176524">
    <w:lvl>
      <w:numFmt w:val="bullet"/>
      <w:suff w:val="tab"/>
      <w:lvlText w:val="•"/>
      <w:rPr>
        <w:color w:val="3370ff"/>
      </w:rPr>
    </w:lvl>
  </w:abstractNum>
  <w:abstractNum w:abstractNumId="176525">
    <w:lvl>
      <w:numFmt w:val="bullet"/>
      <w:suff w:val="tab"/>
      <w:lvlText w:val="￮"/>
      <w:rPr>
        <w:color w:val="3370ff"/>
      </w:rPr>
    </w:lvl>
  </w:abstractNum>
  <w:abstractNum w:abstractNumId="176526">
    <w:lvl>
      <w:numFmt w:val="bullet"/>
      <w:suff w:val="tab"/>
      <w:lvlText w:val="￮"/>
      <w:rPr>
        <w:color w:val="3370ff"/>
      </w:rPr>
    </w:lvl>
  </w:abstractNum>
  <w:abstractNum w:abstractNumId="176527">
    <w:lvl>
      <w:numFmt w:val="bullet"/>
      <w:suff w:val="tab"/>
      <w:lvlText w:val="￮"/>
      <w:rPr>
        <w:color w:val="3370ff"/>
      </w:rPr>
    </w:lvl>
  </w:abstractNum>
  <w:abstractNum w:abstractNumId="176528">
    <w:lvl>
      <w:numFmt w:val="bullet"/>
      <w:suff w:val="tab"/>
      <w:lvlText w:val="•"/>
      <w:rPr>
        <w:color w:val="3370ff"/>
      </w:rPr>
    </w:lvl>
  </w:abstractNum>
  <w:abstractNum w:abstractNumId="176529">
    <w:lvl>
      <w:numFmt w:val="bullet"/>
      <w:suff w:val="tab"/>
      <w:lvlText w:val="•"/>
      <w:rPr>
        <w:color w:val="3370ff"/>
      </w:rPr>
    </w:lvl>
  </w:abstractNum>
  <w:abstractNum w:abstractNumId="176530">
    <w:lvl>
      <w:numFmt w:val="bullet"/>
      <w:suff w:val="tab"/>
      <w:lvlText w:val="•"/>
      <w:rPr>
        <w:color w:val="3370ff"/>
      </w:rPr>
    </w:lvl>
  </w:abstractNum>
  <w:abstractNum w:abstractNumId="176531">
    <w:lvl>
      <w:numFmt w:val="bullet"/>
      <w:suff w:val="tab"/>
      <w:lvlText w:val="•"/>
      <w:rPr>
        <w:color w:val="3370ff"/>
      </w:rPr>
    </w:lvl>
  </w:abstractNum>
  <w:abstractNum w:abstractNumId="176532">
    <w:lvl>
      <w:numFmt w:val="bullet"/>
      <w:suff w:val="tab"/>
      <w:lvlText w:val="•"/>
      <w:rPr>
        <w:color w:val="3370ff"/>
      </w:rPr>
    </w:lvl>
  </w:abstractNum>
  <w:abstractNum w:abstractNumId="176533">
    <w:lvl>
      <w:numFmt w:val="bullet"/>
      <w:suff w:val="tab"/>
      <w:lvlText w:val="•"/>
      <w:rPr>
        <w:color w:val="3370ff"/>
      </w:rPr>
    </w:lvl>
  </w:abstractNum>
  <w:abstractNum w:abstractNumId="176534">
    <w:lvl>
      <w:numFmt w:val="bullet"/>
      <w:suff w:val="tab"/>
      <w:lvlText w:val="￮"/>
      <w:rPr>
        <w:color w:val="3370ff"/>
      </w:rPr>
    </w:lvl>
  </w:abstractNum>
  <w:abstractNum w:abstractNumId="176535">
    <w:lvl>
      <w:numFmt w:val="bullet"/>
      <w:suff w:val="tab"/>
      <w:lvlText w:val="￮"/>
      <w:rPr>
        <w:color w:val="3370ff"/>
      </w:rPr>
    </w:lvl>
  </w:abstractNum>
  <w:abstractNum w:abstractNumId="176536">
    <w:lvl>
      <w:numFmt w:val="bullet"/>
      <w:suff w:val="tab"/>
      <w:lvlText w:val="￮"/>
      <w:rPr>
        <w:color w:val="3370ff"/>
      </w:rPr>
    </w:lvl>
  </w:abstractNum>
  <w:abstractNum w:abstractNumId="176537">
    <w:lvl>
      <w:numFmt w:val="bullet"/>
      <w:suff w:val="tab"/>
      <w:lvlText w:val="￮"/>
      <w:rPr>
        <w:color w:val="3370ff"/>
      </w:rPr>
    </w:lvl>
  </w:abstractNum>
  <w:abstractNum w:abstractNumId="176538">
    <w:lvl>
      <w:numFmt w:val="bullet"/>
      <w:suff w:val="tab"/>
      <w:lvlText w:val="￮"/>
      <w:rPr>
        <w:color w:val="3370ff"/>
      </w:rPr>
    </w:lvl>
  </w:abstractNum>
  <w:abstractNum w:abstractNumId="176539">
    <w:lvl>
      <w:numFmt w:val="bullet"/>
      <w:suff w:val="tab"/>
      <w:lvlText w:val="￮"/>
      <w:rPr>
        <w:color w:val="3370ff"/>
      </w:rPr>
    </w:lvl>
  </w:abstractNum>
  <w:num w:numId="1">
    <w:abstractNumId w:val="176495"/>
  </w:num>
  <w:num w:numId="2">
    <w:abstractNumId w:val="176496"/>
  </w:num>
  <w:num w:numId="3">
    <w:abstractNumId w:val="176497"/>
  </w:num>
  <w:num w:numId="4">
    <w:abstractNumId w:val="176498"/>
  </w:num>
  <w:num w:numId="5">
    <w:abstractNumId w:val="176499"/>
  </w:num>
  <w:num w:numId="6">
    <w:abstractNumId w:val="176500"/>
  </w:num>
  <w:num w:numId="7">
    <w:abstractNumId w:val="176501"/>
  </w:num>
  <w:num w:numId="8">
    <w:abstractNumId w:val="176502"/>
  </w:num>
  <w:num w:numId="9">
    <w:abstractNumId w:val="176503"/>
  </w:num>
  <w:num w:numId="10">
    <w:abstractNumId w:val="176504"/>
  </w:num>
  <w:num w:numId="11">
    <w:abstractNumId w:val="176505"/>
  </w:num>
  <w:num w:numId="12">
    <w:abstractNumId w:val="176506"/>
  </w:num>
  <w:num w:numId="13">
    <w:abstractNumId w:val="176507"/>
  </w:num>
  <w:num w:numId="14">
    <w:abstractNumId w:val="176508"/>
  </w:num>
  <w:num w:numId="15">
    <w:abstractNumId w:val="176509"/>
  </w:num>
  <w:num w:numId="16">
    <w:abstractNumId w:val="176510"/>
  </w:num>
  <w:num w:numId="17">
    <w:abstractNumId w:val="176511"/>
  </w:num>
  <w:num w:numId="18">
    <w:abstractNumId w:val="176512"/>
  </w:num>
  <w:num w:numId="19">
    <w:abstractNumId w:val="176513"/>
  </w:num>
  <w:num w:numId="20">
    <w:abstractNumId w:val="176514"/>
  </w:num>
  <w:num w:numId="21">
    <w:abstractNumId w:val="176515"/>
  </w:num>
  <w:num w:numId="22">
    <w:abstractNumId w:val="176516"/>
  </w:num>
  <w:num w:numId="23">
    <w:abstractNumId w:val="176517"/>
  </w:num>
  <w:num w:numId="24">
    <w:abstractNumId w:val="176518"/>
  </w:num>
  <w:num w:numId="25">
    <w:abstractNumId w:val="176519"/>
  </w:num>
  <w:num w:numId="26">
    <w:abstractNumId w:val="176520"/>
  </w:num>
  <w:num w:numId="27">
    <w:abstractNumId w:val="176521"/>
  </w:num>
  <w:num w:numId="28">
    <w:abstractNumId w:val="176522"/>
  </w:num>
  <w:num w:numId="29">
    <w:abstractNumId w:val="176523"/>
  </w:num>
  <w:num w:numId="30">
    <w:abstractNumId w:val="176524"/>
  </w:num>
  <w:num w:numId="31">
    <w:abstractNumId w:val="176525"/>
  </w:num>
  <w:num w:numId="32">
    <w:abstractNumId w:val="176526"/>
  </w:num>
  <w:num w:numId="33">
    <w:abstractNumId w:val="176527"/>
  </w:num>
  <w:num w:numId="34">
    <w:abstractNumId w:val="176528"/>
  </w:num>
  <w:num w:numId="35">
    <w:abstractNumId w:val="176529"/>
  </w:num>
  <w:num w:numId="36">
    <w:abstractNumId w:val="176530"/>
  </w:num>
  <w:num w:numId="37">
    <w:abstractNumId w:val="176531"/>
  </w:num>
  <w:num w:numId="38">
    <w:abstractNumId w:val="176532"/>
  </w:num>
  <w:num w:numId="39">
    <w:abstractNumId w:val="176533"/>
  </w:num>
  <w:num w:numId="40">
    <w:abstractNumId w:val="176534"/>
  </w:num>
  <w:num w:numId="41">
    <w:abstractNumId w:val="176535"/>
  </w:num>
  <w:num w:numId="42">
    <w:abstractNumId w:val="176536"/>
  </w:num>
  <w:num w:numId="43">
    <w:abstractNumId w:val="176537"/>
  </w:num>
  <w:num w:numId="44">
    <w:abstractNumId w:val="176538"/>
  </w:num>
  <w:num w:numId="45">
    <w:abstractNumId w:val="17653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jpe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jpe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jpeg" Type="http://schemas.openxmlformats.org/officeDocument/2006/relationships/image"/><Relationship Id="rId18" Target="media/image14.png" Type="http://schemas.openxmlformats.org/officeDocument/2006/relationships/image"/><Relationship Id="rId19" Target="media/image15.jpe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jpe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jpe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header1.xml" Type="http://schemas.openxmlformats.org/officeDocument/2006/relationships/header"/><Relationship Id="rId4" Target="numbering.xml" Type="http://schemas.openxmlformats.org/officeDocument/2006/relationships/numbering"/><Relationship Id="rId5" Target="media/image1.jpe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2025-02-20T17:13:09Z</dcterms:created>
  <dc:creator>Apache POI</dc:creator>
</cp:coreProperties>
</file>